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16"/>
        <w:rPr>
          <w:rFonts w:hAnsi="黑体"/>
          <w:color w:val="000000" w:themeColor="text1"/>
          <w:highlight w:val="none"/>
          <w14:textFill>
            <w14:solidFill>
              <w14:schemeClr w14:val="tx1"/>
            </w14:solidFill>
          </w14:textFill>
        </w:rPr>
      </w:pPr>
      <w:bookmarkStart w:id="0" w:name="c5"/>
      <w:r>
        <w:rPr>
          <w:rFonts w:hAnsi="黑体"/>
          <w:color w:val="000000" w:themeColor="text1"/>
          <w:highlight w:val="none"/>
          <w14:textFill>
            <w14:solidFill>
              <w14:schemeClr w14:val="tx1"/>
            </w14:solidFill>
          </w14:textFill>
        </w:rPr>
        <w:t>ICS 29.130.10</w:t>
      </w:r>
    </w:p>
    <w:p>
      <w:pPr>
        <w:pStyle w:val="16"/>
        <w:rPr>
          <w:rFonts w:hAnsi="黑体"/>
          <w:color w:val="000000" w:themeColor="text1"/>
          <w:highlight w:val="none"/>
          <w14:textFill>
            <w14:solidFill>
              <w14:schemeClr w14:val="tx1"/>
            </w14:solidFill>
          </w14:textFill>
        </w:rPr>
      </w:pPr>
      <w:r>
        <w:rPr>
          <w:rFonts w:hAnsi="黑体"/>
          <w:color w:val="000000" w:themeColor="text1"/>
          <w:highlight w:val="none"/>
          <w14:textFill>
            <w14:solidFill>
              <w14:schemeClr w14:val="tx1"/>
            </w14:solidFill>
          </w14:textFill>
        </w:rPr>
        <w:t>CCS K</w:t>
      </w:r>
      <w:r>
        <w:rPr>
          <w:rFonts w:hint="eastAsia" w:hAnsi="黑体"/>
          <w:color w:val="000000" w:themeColor="text1"/>
          <w:highlight w:val="none"/>
          <w14:textFill>
            <w14:solidFill>
              <w14:schemeClr w14:val="tx1"/>
            </w14:solidFill>
          </w14:textFill>
        </w:rPr>
        <w:t xml:space="preserve"> </w:t>
      </w:r>
      <w:bookmarkEnd w:id="0"/>
      <w:r>
        <w:rPr>
          <w:rFonts w:hAnsi="黑体"/>
          <w:color w:val="000000" w:themeColor="text1"/>
          <w:highlight w:val="none"/>
          <w14:textFill>
            <w14:solidFill>
              <w14:schemeClr w14:val="tx1"/>
            </w14:solidFill>
          </w14:textFill>
        </w:rPr>
        <w:t>43</w:t>
      </w:r>
    </w:p>
    <w:p>
      <w:pPr>
        <w:pStyle w:val="17"/>
        <w:rPr>
          <w:rFonts w:hAnsi="黑体"/>
          <w:color w:val="000000" w:themeColor="text1"/>
          <w:highlight w:val="none"/>
          <w14:textFill>
            <w14:solidFill>
              <w14:schemeClr w14:val="tx1"/>
            </w14:solidFill>
          </w14:textFill>
        </w:rPr>
      </w:pPr>
      <w:r>
        <w:rPr>
          <w:rFonts w:hint="eastAsia" w:ascii="Times New Roman"/>
          <w:color w:val="000000" w:themeColor="text1"/>
          <w:highlight w:val="none"/>
          <w14:textFill>
            <w14:solidFill>
              <w14:schemeClr w14:val="tx1"/>
            </w14:solidFill>
          </w14:textFill>
        </w:rPr>
        <w:t>T</w:t>
      </w:r>
      <w:r>
        <w:rPr>
          <w:rFonts w:ascii="Times New Roman"/>
          <w:color w:val="000000" w:themeColor="text1"/>
          <w:highlight w:val="none"/>
          <w14:textFill>
            <w14:solidFill>
              <w14:schemeClr w14:val="tx1"/>
            </w14:solidFill>
          </w14:textFill>
        </w:rPr>
        <w:t>/</w:t>
      </w:r>
      <w:r>
        <w:rPr>
          <w:rFonts w:hint="eastAsia" w:ascii="Times New Roman"/>
          <w:color w:val="000000" w:themeColor="text1"/>
          <w:highlight w:val="none"/>
          <w14:textFill>
            <w14:solidFill>
              <w14:schemeClr w14:val="tx1"/>
            </w14:solidFill>
          </w14:textFill>
        </w:rPr>
        <w:t xml:space="preserve">ZZB </w:t>
      </w:r>
      <w:r>
        <w:rPr>
          <w:rFonts w:hint="eastAsia" w:hAnsi="黑体"/>
          <w:color w:val="000000" w:themeColor="text1"/>
          <w:highlight w:val="none"/>
          <w14:textFill>
            <w14:solidFill>
              <w14:schemeClr w14:val="tx1"/>
            </w14:solidFill>
          </w14:textFill>
        </w:rPr>
        <w:t>XXXX</w:t>
      </w:r>
      <w:r>
        <w:rPr>
          <w:rFonts w:hAnsi="黑体"/>
          <w:color w:val="000000" w:themeColor="text1"/>
          <w:highlight w:val="none"/>
          <w14:textFill>
            <w14:solidFill>
              <w14:schemeClr w14:val="tx1"/>
            </w14:solidFill>
          </w14:textFill>
        </w:rPr>
        <w:t>—</w:t>
      </w:r>
      <w:r>
        <w:rPr>
          <w:rFonts w:hint="eastAsia" w:hAnsi="黑体"/>
          <w:color w:val="000000" w:themeColor="text1"/>
          <w:highlight w:val="none"/>
          <w14:textFill>
            <w14:solidFill>
              <w14:schemeClr w14:val="tx1"/>
            </w14:solidFill>
          </w14:textFill>
        </w:rPr>
        <w:t>XXXX</w:t>
      </w:r>
    </w:p>
    <w:p>
      <w:pPr>
        <w:pStyle w:val="17"/>
        <w:rPr>
          <w:rFonts w:hAnsi="黑体"/>
          <w:color w:val="000000" w:themeColor="text1"/>
          <w:highlight w:val="none"/>
          <w14:textFill>
            <w14:solidFill>
              <w14:schemeClr w14:val="tx1"/>
            </w14:solidFill>
          </w14:textFill>
        </w:rPr>
      </w:pPr>
    </w:p>
    <w:p>
      <w:pPr>
        <w:pStyle w:val="17"/>
        <w:rPr>
          <w:rFonts w:hAnsi="黑体"/>
          <w:color w:val="000000" w:themeColor="text1"/>
          <w:highlight w:val="none"/>
          <w14:textFill>
            <w14:solidFill>
              <w14:schemeClr w14:val="tx1"/>
            </w14:solidFill>
          </w14:textFill>
        </w:rPr>
      </w:pPr>
    </w:p>
    <w:p>
      <w:pPr>
        <w:pStyle w:val="18"/>
        <w:framePr w:x="1160" w:y="6344"/>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40.5kV海上风电用气体绝缘金</w:t>
      </w:r>
      <w:bookmarkStart w:id="181" w:name="_GoBack"/>
      <w:bookmarkEnd w:id="181"/>
      <w:r>
        <w:rPr>
          <w:rFonts w:hint="eastAsia"/>
          <w:color w:val="000000" w:themeColor="text1"/>
          <w:highlight w:val="none"/>
          <w14:textFill>
            <w14:solidFill>
              <w14:schemeClr w14:val="tx1"/>
            </w14:solidFill>
          </w14:textFill>
        </w:rPr>
        <w:t>属封闭开关设备和控制设备</w:t>
      </w:r>
    </w:p>
    <w:p>
      <w:pPr>
        <w:pStyle w:val="19"/>
        <w:framePr w:x="1160" w:y="6344"/>
        <w:rPr>
          <w:rFonts w:ascii="黑体" w:hAnsi="黑体" w:cs="黑体"/>
          <w:color w:val="000000" w:themeColor="text1"/>
          <w:highlight w:val="none"/>
          <w14:textFill>
            <w14:solidFill>
              <w14:schemeClr w14:val="tx1"/>
            </w14:solidFill>
          </w14:textFill>
        </w:rPr>
      </w:pPr>
      <w:r>
        <w:rPr>
          <w:rFonts w:ascii="黑体" w:hAnsi="黑体" w:cs="黑体"/>
          <w:color w:val="000000" w:themeColor="text1"/>
          <w:highlight w:val="none"/>
          <w14:textFill>
            <w14:solidFill>
              <w14:schemeClr w14:val="tx1"/>
            </w14:solidFill>
          </w14:textFill>
        </w:rPr>
        <w:t>Gas</w:t>
      </w:r>
      <w:r>
        <w:rPr>
          <w:rFonts w:hint="eastAsia" w:ascii="黑体" w:hAnsi="黑体" w:cs="黑体"/>
          <w:color w:val="000000" w:themeColor="text1"/>
          <w:highlight w:val="none"/>
          <w14:textFill>
            <w14:solidFill>
              <w14:schemeClr w14:val="tx1"/>
            </w14:solidFill>
          </w14:textFill>
        </w:rPr>
        <w:t>-</w:t>
      </w:r>
      <w:r>
        <w:rPr>
          <w:rFonts w:ascii="黑体" w:hAnsi="黑体" w:cs="黑体"/>
          <w:color w:val="000000" w:themeColor="text1"/>
          <w:highlight w:val="none"/>
          <w14:textFill>
            <w14:solidFill>
              <w14:schemeClr w14:val="tx1"/>
            </w14:solidFill>
          </w14:textFill>
        </w:rPr>
        <w:t>insulated metal</w:t>
      </w:r>
      <w:r>
        <w:rPr>
          <w:rFonts w:hint="eastAsia" w:ascii="黑体" w:hAnsi="黑体" w:cs="黑体"/>
          <w:color w:val="000000" w:themeColor="text1"/>
          <w:highlight w:val="none"/>
          <w14:textFill>
            <w14:solidFill>
              <w14:schemeClr w14:val="tx1"/>
            </w14:solidFill>
          </w14:textFill>
        </w:rPr>
        <w:t>-</w:t>
      </w:r>
      <w:r>
        <w:rPr>
          <w:rFonts w:ascii="黑体" w:hAnsi="黑体" w:cs="黑体"/>
          <w:color w:val="000000" w:themeColor="text1"/>
          <w:highlight w:val="none"/>
          <w14:textFill>
            <w14:solidFill>
              <w14:schemeClr w14:val="tx1"/>
            </w14:solidFill>
          </w14:textFill>
        </w:rPr>
        <w:t>enclosed switchgear and control equipment for 40.5kV offshore wind turbimes</w:t>
      </w:r>
    </w:p>
    <w:p>
      <w:pPr>
        <w:pStyle w:val="19"/>
        <w:framePr w:x="1160" w:y="6344"/>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Hans"/>
          <w14:textFill>
            <w14:solidFill>
              <w14:schemeClr w14:val="tx1"/>
            </w14:solidFill>
          </w14:textFill>
        </w:rPr>
        <w:t>征求意见</w:t>
      </w:r>
      <w:r>
        <w:rPr>
          <w:rFonts w:hint="eastAsia" w:ascii="宋体" w:hAnsi="宋体" w:eastAsia="宋体" w:cs="宋体"/>
          <w:color w:val="000000" w:themeColor="text1"/>
          <w:sz w:val="24"/>
          <w:szCs w:val="24"/>
          <w:highlight w:val="none"/>
          <w14:textFill>
            <w14:solidFill>
              <w14:schemeClr w14:val="tx1"/>
            </w14:solidFill>
          </w14:textFill>
        </w:rPr>
        <w:t>稿）</w:t>
      </w:r>
    </w:p>
    <w:p>
      <w:pPr>
        <w:pStyle w:val="19"/>
        <w:framePr w:x="1160" w:y="6344"/>
        <w:rPr>
          <w:rFonts w:ascii="黑体" w:hAnsi="黑体"/>
          <w:color w:val="000000" w:themeColor="text1"/>
          <w:highlight w:val="none"/>
          <w14:textFill>
            <w14:solidFill>
              <w14:schemeClr w14:val="tx1"/>
            </w14:solidFill>
          </w14:textFill>
        </w:rPr>
      </w:pPr>
    </w:p>
    <w:p>
      <w:pPr>
        <w:pStyle w:val="20"/>
        <w:rPr>
          <w:color w:val="000000" w:themeColor="text1"/>
          <w:highlight w:val="none"/>
          <w14:textFill>
            <w14:solidFill>
              <w14:schemeClr w14:val="tx1"/>
            </w14:solidFill>
          </w14:textFill>
        </w:rPr>
      </w:pPr>
      <w:r>
        <w:rPr>
          <w:rFonts w:ascii="黑体"/>
          <w:color w:val="000000" w:themeColor="text1"/>
          <w:highlight w:val="none"/>
          <w14:textFill>
            <w14:solidFill>
              <w14:schemeClr w14:val="tx1"/>
            </w14:solidFill>
          </w14:textFill>
        </w:rPr>
        <w:fldChar w:fldCharType="begin">
          <w:ffData>
            <w:name w:val="FY"/>
            <w:enabled/>
            <w:calcOnExit w:val="0"/>
            <w:textInput>
              <w:default w:val="XXXX"/>
              <w:maxLength w:val="4"/>
            </w:textInput>
          </w:ffData>
        </w:fldChar>
      </w:r>
      <w:bookmarkStart w:id="1" w:name="FY"/>
      <w:r>
        <w:rPr>
          <w:rFonts w:ascii="黑体"/>
          <w:color w:val="000000" w:themeColor="text1"/>
          <w:highlight w:val="none"/>
          <w14:textFill>
            <w14:solidFill>
              <w14:schemeClr w14:val="tx1"/>
            </w14:solidFill>
          </w14:textFill>
        </w:rPr>
        <w:instrText xml:space="preserve"> FORMTEXT </w:instrText>
      </w:r>
      <w:r>
        <w:rPr>
          <w:rFonts w:ascii="黑体"/>
          <w:color w:val="000000" w:themeColor="text1"/>
          <w:highlight w:val="none"/>
          <w14:textFill>
            <w14:solidFill>
              <w14:schemeClr w14:val="tx1"/>
            </w14:solidFill>
          </w14:textFill>
        </w:rPr>
        <w:fldChar w:fldCharType="separate"/>
      </w:r>
      <w:r>
        <w:rPr>
          <w:rFonts w:ascii="黑体"/>
          <w:color w:val="000000" w:themeColor="text1"/>
          <w:highlight w:val="none"/>
          <w14:textFill>
            <w14:solidFill>
              <w14:schemeClr w14:val="tx1"/>
            </w14:solidFill>
          </w14:textFill>
        </w:rPr>
        <w:t>XXXX</w:t>
      </w:r>
      <w:r>
        <w:rPr>
          <w:rFonts w:ascii="黑体"/>
          <w:color w:val="000000" w:themeColor="text1"/>
          <w:highlight w:val="none"/>
          <w14:textFill>
            <w14:solidFill>
              <w14:schemeClr w14:val="tx1"/>
            </w14:solidFill>
          </w14:textFill>
        </w:rPr>
        <w:fldChar w:fldCharType="end"/>
      </w:r>
      <w:bookmarkEnd w:id="1"/>
      <w:r>
        <w:rPr>
          <w:color w:val="000000" w:themeColor="text1"/>
          <w:highlight w:val="none"/>
          <w14:textFill>
            <w14:solidFill>
              <w14:schemeClr w14:val="tx1"/>
            </w14:solidFill>
          </w14:textFill>
        </w:rPr>
        <w:t xml:space="preserve"> </w:t>
      </w:r>
      <w:r>
        <w:rPr>
          <w:rFonts w:ascii="黑体"/>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 xml:space="preserve"> </w:t>
      </w:r>
      <w:bookmarkStart w:id="2" w:name="FM"/>
      <w:r>
        <w:rPr>
          <w:rFonts w:hint="eastAsia" w:ascii="黑体"/>
          <w:color w:val="000000" w:themeColor="text1"/>
          <w:highlight w:val="none"/>
          <w14:textFill>
            <w14:solidFill>
              <w14:schemeClr w14:val="tx1"/>
            </w14:solidFill>
          </w14:textFill>
        </w:rPr>
        <w:fldChar w:fldCharType="begin">
          <w:ffData>
            <w:name w:val="FM"/>
            <w:enabled/>
            <w:calcOnExit w:val="0"/>
            <w:textInput>
              <w:default w:val="XX"/>
              <w:maxLength w:val="2"/>
            </w:textInput>
          </w:ffData>
        </w:fldChar>
      </w:r>
      <w:r>
        <w:rPr>
          <w:rFonts w:hint="eastAsia" w:ascii="黑体"/>
          <w:color w:val="000000" w:themeColor="text1"/>
          <w:highlight w:val="none"/>
          <w14:textFill>
            <w14:solidFill>
              <w14:schemeClr w14:val="tx1"/>
            </w14:solidFill>
          </w14:textFill>
        </w:rPr>
        <w:instrText xml:space="preserve">FORMTEXT</w:instrText>
      </w:r>
      <w:r>
        <w:rPr>
          <w:rFonts w:hint="eastAsia" w:ascii="黑体"/>
          <w:color w:val="000000" w:themeColor="text1"/>
          <w:highlight w:val="none"/>
          <w14:textFill>
            <w14:solidFill>
              <w14:schemeClr w14:val="tx1"/>
            </w14:solidFill>
          </w14:textFill>
        </w:rPr>
        <w:fldChar w:fldCharType="separate"/>
      </w:r>
      <w:r>
        <w:rPr>
          <w:rFonts w:hint="eastAsia" w:ascii="黑体"/>
          <w:color w:val="000000" w:themeColor="text1"/>
          <w:highlight w:val="none"/>
          <w14:textFill>
            <w14:solidFill>
              <w14:schemeClr w14:val="tx1"/>
            </w14:solidFill>
          </w14:textFill>
        </w:rPr>
        <w:t>XX</w:t>
      </w:r>
      <w:r>
        <w:rPr>
          <w:rFonts w:hint="eastAsia" w:ascii="黑体"/>
          <w:color w:val="000000" w:themeColor="text1"/>
          <w:highlight w:val="none"/>
          <w14:textFill>
            <w14:solidFill>
              <w14:schemeClr w14:val="tx1"/>
            </w14:solidFill>
          </w14:textFill>
        </w:rPr>
        <w:fldChar w:fldCharType="end"/>
      </w:r>
      <w:bookmarkEnd w:id="2"/>
      <w:r>
        <w:rPr>
          <w:color w:val="000000" w:themeColor="text1"/>
          <w:highlight w:val="none"/>
          <w14:textFill>
            <w14:solidFill>
              <w14:schemeClr w14:val="tx1"/>
            </w14:solidFill>
          </w14:textFill>
        </w:rPr>
        <w:t xml:space="preserve"> </w:t>
      </w:r>
      <w:r>
        <w:rPr>
          <w:rFonts w:ascii="黑体"/>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 xml:space="preserve"> </w:t>
      </w:r>
      <w:bookmarkStart w:id="3" w:name="FD"/>
      <w:r>
        <w:rPr>
          <w:rFonts w:hint="eastAsia" w:ascii="黑体"/>
          <w:color w:val="000000" w:themeColor="text1"/>
          <w:highlight w:val="none"/>
          <w14:textFill>
            <w14:solidFill>
              <w14:schemeClr w14:val="tx1"/>
            </w14:solidFill>
          </w14:textFill>
        </w:rPr>
        <w:fldChar w:fldCharType="begin">
          <w:ffData>
            <w:name w:val="FD"/>
            <w:enabled/>
            <w:calcOnExit w:val="0"/>
            <w:textInput>
              <w:default w:val="XX"/>
              <w:maxLength w:val="2"/>
            </w:textInput>
          </w:ffData>
        </w:fldChar>
      </w:r>
      <w:r>
        <w:rPr>
          <w:rFonts w:hint="eastAsia" w:ascii="黑体"/>
          <w:color w:val="000000" w:themeColor="text1"/>
          <w:highlight w:val="none"/>
          <w14:textFill>
            <w14:solidFill>
              <w14:schemeClr w14:val="tx1"/>
            </w14:solidFill>
          </w14:textFill>
        </w:rPr>
        <w:instrText xml:space="preserve">FORMTEXT</w:instrText>
      </w:r>
      <w:r>
        <w:rPr>
          <w:rFonts w:hint="eastAsia" w:ascii="黑体"/>
          <w:color w:val="000000" w:themeColor="text1"/>
          <w:highlight w:val="none"/>
          <w14:textFill>
            <w14:solidFill>
              <w14:schemeClr w14:val="tx1"/>
            </w14:solidFill>
          </w14:textFill>
        </w:rPr>
        <w:fldChar w:fldCharType="separate"/>
      </w:r>
      <w:r>
        <w:rPr>
          <w:rFonts w:hint="eastAsia" w:ascii="黑体"/>
          <w:color w:val="000000" w:themeColor="text1"/>
          <w:highlight w:val="none"/>
          <w14:textFill>
            <w14:solidFill>
              <w14:schemeClr w14:val="tx1"/>
            </w14:solidFill>
          </w14:textFill>
        </w:rPr>
        <w:t>XX</w:t>
      </w:r>
      <w:r>
        <w:rPr>
          <w:rFonts w:hint="eastAsia" w:ascii="黑体"/>
          <w:color w:val="000000" w:themeColor="text1"/>
          <w:highlight w:val="none"/>
          <w14:textFill>
            <w14:solidFill>
              <w14:schemeClr w14:val="tx1"/>
            </w14:solidFill>
          </w14:textFill>
        </w:rPr>
        <w:fldChar w:fldCharType="end"/>
      </w:r>
      <w:bookmarkEnd w:id="3"/>
      <w:r>
        <w:rPr>
          <w:rFonts w:hint="eastAsia"/>
          <w:color w:val="000000" w:themeColor="text1"/>
          <w:highlight w:val="none"/>
          <w14:textFill>
            <w14:solidFill>
              <w14:schemeClr w14:val="tx1"/>
            </w14:solidFill>
          </w14:textFill>
        </w:rPr>
        <w:t>发布</w:t>
      </w:r>
      <w:r>
        <w:rPr>
          <w:color w:val="000000" w:themeColor="text1"/>
          <w:highlight w:val="none"/>
          <w14:textFill>
            <w14:solidFill>
              <w14:schemeClr w14:val="tx1"/>
            </w14:solidFill>
          </w14:textFill>
        </w:rPr>
        <mc:AlternateContent>
          <mc:Choice Requires="wps">
            <w:drawing>
              <wp:anchor distT="0" distB="0" distL="114300" distR="114300" simplePos="0" relativeHeight="251660288" behindDoc="0" locked="1" layoutInCell="1" allowOverlap="1">
                <wp:simplePos x="0" y="0"/>
                <wp:positionH relativeFrom="column">
                  <wp:posOffset>0</wp:posOffset>
                </wp:positionH>
                <wp:positionV relativeFrom="page">
                  <wp:posOffset>9251950</wp:posOffset>
                </wp:positionV>
                <wp:extent cx="6120130" cy="0"/>
                <wp:effectExtent l="0" t="0" r="0" b="0"/>
                <wp:wrapNone/>
                <wp:docPr id="4" name="直接连接符 4"/>
                <wp:cNvGraphicFramePr/>
                <a:graphic xmlns:a="http://schemas.openxmlformats.org/drawingml/2006/main">
                  <a:graphicData uri="http://schemas.microsoft.com/office/word/2010/wordprocessingShape">
                    <wps:wsp>
                      <wps:cNvCnPr/>
                      <wps:spPr>
                        <a:xfrm>
                          <a:off x="0" y="0"/>
                          <a:ext cx="6120130"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0pt;margin-top:728.5pt;height:0pt;width:481.9pt;mso-position-vertical-relative:page;z-index:251660288;mso-width-relative:page;mso-height-relative:page;" filled="f" stroked="t" coordsize="21600,21600" o:gfxdata="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FgAAAGRycy9QSwECFAAUAAAACACHTuJAPe0D&#10;Z9UAAAAKAQAADwAAAAAAAAABACAAAAA4AAAAZHJzL2Rvd25yZXYueG1sUEsBAhQAFAAAAAgAh07i&#10;QMgsRRTWAQAAmAMAAA4AAAAAAAAAAQAgAAAAOgEAAGRycy9lMm9Eb2MueG1sUEsFBgAAAAAGAAYA&#10;WQEAAIIFAAAAAA==&#10;">
                <v:fill on="f" focussize="0,0"/>
                <v:stroke color="#000000" joinstyle="round"/>
                <v:imagedata o:title=""/>
                <o:lock v:ext="edit" aspectratio="f"/>
                <w10:anchorlock/>
              </v:line>
            </w:pict>
          </mc:Fallback>
        </mc:AlternateContent>
      </w:r>
    </w:p>
    <w:p>
      <w:pPr>
        <w:pStyle w:val="22"/>
        <w:framePr w:x="7070"/>
        <w:rPr>
          <w:color w:val="000000" w:themeColor="text1"/>
          <w:highlight w:val="none"/>
          <w14:textFill>
            <w14:solidFill>
              <w14:schemeClr w14:val="tx1"/>
            </w14:solidFill>
          </w14:textFill>
        </w:rPr>
      </w:pPr>
      <w:r>
        <w:rPr>
          <w:rFonts w:ascii="黑体"/>
          <w:color w:val="000000" w:themeColor="text1"/>
          <w:highlight w:val="none"/>
          <w14:textFill>
            <w14:solidFill>
              <w14:schemeClr w14:val="tx1"/>
            </w14:solidFill>
          </w14:textFill>
        </w:rPr>
        <w:fldChar w:fldCharType="begin">
          <w:ffData>
            <w:name w:val="SY"/>
            <w:enabled/>
            <w:calcOnExit w:val="0"/>
            <w:textInput>
              <w:default w:val="XXXX"/>
              <w:maxLength w:val="4"/>
            </w:textInput>
          </w:ffData>
        </w:fldChar>
      </w:r>
      <w:bookmarkStart w:id="4" w:name="SY"/>
      <w:r>
        <w:rPr>
          <w:rFonts w:ascii="黑体"/>
          <w:color w:val="000000" w:themeColor="text1"/>
          <w:highlight w:val="none"/>
          <w14:textFill>
            <w14:solidFill>
              <w14:schemeClr w14:val="tx1"/>
            </w14:solidFill>
          </w14:textFill>
        </w:rPr>
        <w:instrText xml:space="preserve"> FORMTEXT </w:instrText>
      </w:r>
      <w:r>
        <w:rPr>
          <w:rFonts w:ascii="黑体"/>
          <w:color w:val="000000" w:themeColor="text1"/>
          <w:highlight w:val="none"/>
          <w14:textFill>
            <w14:solidFill>
              <w14:schemeClr w14:val="tx1"/>
            </w14:solidFill>
          </w14:textFill>
        </w:rPr>
        <w:fldChar w:fldCharType="separate"/>
      </w:r>
      <w:r>
        <w:rPr>
          <w:rFonts w:ascii="黑体"/>
          <w:color w:val="000000" w:themeColor="text1"/>
          <w:highlight w:val="none"/>
          <w14:textFill>
            <w14:solidFill>
              <w14:schemeClr w14:val="tx1"/>
            </w14:solidFill>
          </w14:textFill>
        </w:rPr>
        <w:t>XXXX</w:t>
      </w:r>
      <w:r>
        <w:rPr>
          <w:rFonts w:ascii="黑体"/>
          <w:color w:val="000000" w:themeColor="text1"/>
          <w:highlight w:val="none"/>
          <w14:textFill>
            <w14:solidFill>
              <w14:schemeClr w14:val="tx1"/>
            </w14:solidFill>
          </w14:textFill>
        </w:rPr>
        <w:fldChar w:fldCharType="end"/>
      </w:r>
      <w:bookmarkEnd w:id="4"/>
      <w:r>
        <w:rPr>
          <w:color w:val="000000" w:themeColor="text1"/>
          <w:highlight w:val="none"/>
          <w14:textFill>
            <w14:solidFill>
              <w14:schemeClr w14:val="tx1"/>
            </w14:solidFill>
          </w14:textFill>
        </w:rPr>
        <w:t xml:space="preserve"> </w:t>
      </w:r>
      <w:r>
        <w:rPr>
          <w:rFonts w:ascii="黑体"/>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 xml:space="preserve"> </w:t>
      </w:r>
      <w:bookmarkStart w:id="5" w:name="SM"/>
      <w:r>
        <w:rPr>
          <w:rFonts w:hint="eastAsia" w:ascii="黑体"/>
          <w:color w:val="000000" w:themeColor="text1"/>
          <w:highlight w:val="none"/>
          <w14:textFill>
            <w14:solidFill>
              <w14:schemeClr w14:val="tx1"/>
            </w14:solidFill>
          </w14:textFill>
        </w:rPr>
        <w:fldChar w:fldCharType="begin">
          <w:ffData>
            <w:name w:val="SM"/>
            <w:enabled/>
            <w:calcOnExit w:val="0"/>
            <w:textInput>
              <w:default w:val="XX"/>
              <w:maxLength w:val="2"/>
            </w:textInput>
          </w:ffData>
        </w:fldChar>
      </w:r>
      <w:r>
        <w:rPr>
          <w:rFonts w:hint="eastAsia" w:ascii="黑体"/>
          <w:color w:val="000000" w:themeColor="text1"/>
          <w:highlight w:val="none"/>
          <w14:textFill>
            <w14:solidFill>
              <w14:schemeClr w14:val="tx1"/>
            </w14:solidFill>
          </w14:textFill>
        </w:rPr>
        <w:instrText xml:space="preserve">FORMTEXT</w:instrText>
      </w:r>
      <w:r>
        <w:rPr>
          <w:rFonts w:hint="eastAsia" w:ascii="黑体"/>
          <w:color w:val="000000" w:themeColor="text1"/>
          <w:highlight w:val="none"/>
          <w14:textFill>
            <w14:solidFill>
              <w14:schemeClr w14:val="tx1"/>
            </w14:solidFill>
          </w14:textFill>
        </w:rPr>
        <w:fldChar w:fldCharType="separate"/>
      </w:r>
      <w:r>
        <w:rPr>
          <w:rFonts w:hint="eastAsia" w:ascii="黑体"/>
          <w:color w:val="000000" w:themeColor="text1"/>
          <w:highlight w:val="none"/>
          <w14:textFill>
            <w14:solidFill>
              <w14:schemeClr w14:val="tx1"/>
            </w14:solidFill>
          </w14:textFill>
        </w:rPr>
        <w:t>XX</w:t>
      </w:r>
      <w:r>
        <w:rPr>
          <w:rFonts w:hint="eastAsia" w:ascii="黑体"/>
          <w:color w:val="000000" w:themeColor="text1"/>
          <w:highlight w:val="none"/>
          <w14:textFill>
            <w14:solidFill>
              <w14:schemeClr w14:val="tx1"/>
            </w14:solidFill>
          </w14:textFill>
        </w:rPr>
        <w:fldChar w:fldCharType="end"/>
      </w:r>
      <w:bookmarkEnd w:id="5"/>
      <w:r>
        <w:rPr>
          <w:color w:val="000000" w:themeColor="text1"/>
          <w:highlight w:val="none"/>
          <w14:textFill>
            <w14:solidFill>
              <w14:schemeClr w14:val="tx1"/>
            </w14:solidFill>
          </w14:textFill>
        </w:rPr>
        <w:t xml:space="preserve"> </w:t>
      </w:r>
      <w:r>
        <w:rPr>
          <w:rFonts w:ascii="黑体"/>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 xml:space="preserve"> </w:t>
      </w:r>
      <w:bookmarkStart w:id="6" w:name="SD"/>
      <w:r>
        <w:rPr>
          <w:rFonts w:hint="eastAsia" w:ascii="黑体"/>
          <w:color w:val="000000" w:themeColor="text1"/>
          <w:highlight w:val="none"/>
          <w14:textFill>
            <w14:solidFill>
              <w14:schemeClr w14:val="tx1"/>
            </w14:solidFill>
          </w14:textFill>
        </w:rPr>
        <w:fldChar w:fldCharType="begin">
          <w:ffData>
            <w:name w:val="SD"/>
            <w:enabled/>
            <w:calcOnExit w:val="0"/>
            <w:textInput>
              <w:default w:val="XX"/>
              <w:maxLength w:val="2"/>
            </w:textInput>
          </w:ffData>
        </w:fldChar>
      </w:r>
      <w:r>
        <w:rPr>
          <w:rFonts w:hint="eastAsia" w:ascii="黑体"/>
          <w:color w:val="000000" w:themeColor="text1"/>
          <w:highlight w:val="none"/>
          <w14:textFill>
            <w14:solidFill>
              <w14:schemeClr w14:val="tx1"/>
            </w14:solidFill>
          </w14:textFill>
        </w:rPr>
        <w:instrText xml:space="preserve">FORMTEXT</w:instrText>
      </w:r>
      <w:r>
        <w:rPr>
          <w:rFonts w:hint="eastAsia" w:ascii="黑体"/>
          <w:color w:val="000000" w:themeColor="text1"/>
          <w:highlight w:val="none"/>
          <w14:textFill>
            <w14:solidFill>
              <w14:schemeClr w14:val="tx1"/>
            </w14:solidFill>
          </w14:textFill>
        </w:rPr>
        <w:fldChar w:fldCharType="separate"/>
      </w:r>
      <w:r>
        <w:rPr>
          <w:rFonts w:hint="eastAsia" w:ascii="黑体"/>
          <w:color w:val="000000" w:themeColor="text1"/>
          <w:highlight w:val="none"/>
          <w14:textFill>
            <w14:solidFill>
              <w14:schemeClr w14:val="tx1"/>
            </w14:solidFill>
          </w14:textFill>
        </w:rPr>
        <w:t>XX</w:t>
      </w:r>
      <w:r>
        <w:rPr>
          <w:rFonts w:hint="eastAsia" w:ascii="黑体"/>
          <w:color w:val="000000" w:themeColor="text1"/>
          <w:highlight w:val="none"/>
          <w14:textFill>
            <w14:solidFill>
              <w14:schemeClr w14:val="tx1"/>
            </w14:solidFill>
          </w14:textFill>
        </w:rPr>
        <w:fldChar w:fldCharType="end"/>
      </w:r>
      <w:bookmarkEnd w:id="6"/>
      <w:r>
        <w:rPr>
          <w:rFonts w:hint="eastAsia"/>
          <w:color w:val="000000" w:themeColor="text1"/>
          <w:highlight w:val="none"/>
          <w14:textFill>
            <w14:solidFill>
              <w14:schemeClr w14:val="tx1"/>
            </w14:solidFill>
          </w14:textFill>
        </w:rPr>
        <w:t>实施</w:t>
      </w:r>
    </w:p>
    <w:p>
      <w:pPr>
        <w:pStyle w:val="24"/>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浙江省品牌建设联合会</w:t>
      </w:r>
      <w:r>
        <w:rPr>
          <w:rFonts w:hint="eastAsia" w:ascii="MS Mincho" w:hAnsi="MS Mincho" w:eastAsia="MS Mincho" w:cs="MS Mincho"/>
          <w:color w:val="000000" w:themeColor="text1"/>
          <w:highlight w:val="none"/>
          <w14:textFill>
            <w14:solidFill>
              <w14:schemeClr w14:val="tx1"/>
            </w14:solidFill>
          </w14:textFill>
        </w:rPr>
        <w:t>   </w:t>
      </w:r>
      <w:r>
        <w:rPr>
          <w:rStyle w:val="27"/>
          <w:rFonts w:hint="eastAsia"/>
          <w:color w:val="000000" w:themeColor="text1"/>
          <w:highlight w:val="none"/>
          <w14:textFill>
            <w14:solidFill>
              <w14:schemeClr w14:val="tx1"/>
            </w14:solidFill>
          </w14:textFill>
        </w:rPr>
        <w:t>发布</w:t>
      </w:r>
    </w:p>
    <w:p>
      <w:pPr>
        <w:pStyle w:val="28"/>
        <w:framePr w:w="6804" w:hAnchor="text" w:xAlign="center"/>
        <w:rPr>
          <w:rFonts w:ascii="Times New Roman" w:hAnsi="Times New Roman"/>
          <w:color w:val="000000" w:themeColor="text1"/>
          <w:sz w:val="72"/>
          <w:highlight w:val="none"/>
          <w14:textFill>
            <w14:solidFill>
              <w14:schemeClr w14:val="tx1"/>
            </w14:solidFill>
          </w14:textFill>
        </w:rPr>
      </w:pPr>
      <w:r>
        <w:rPr>
          <w:rFonts w:hint="eastAsia"/>
          <w:color w:val="000000" w:themeColor="text1"/>
          <w:sz w:val="72"/>
          <w:highlight w:val="none"/>
          <w14:textFill>
            <w14:solidFill>
              <w14:schemeClr w14:val="tx1"/>
            </w14:solidFill>
          </w14:textFill>
        </w:rPr>
        <w:t>团体标</w:t>
      </w:r>
      <w:r>
        <w:rPr>
          <w:rFonts w:hint="eastAsia" w:ascii="Times New Roman" w:hAnsi="Times New Roman"/>
          <w:color w:val="000000" w:themeColor="text1"/>
          <w:sz w:val="72"/>
          <w:highlight w:val="none"/>
          <w14:textFill>
            <w14:solidFill>
              <w14:schemeClr w14:val="tx1"/>
            </w14:solidFill>
          </w14:textFill>
        </w:rPr>
        <w:t>准</w:t>
      </w:r>
    </w:p>
    <w:p>
      <w:pPr>
        <w:pStyle w:val="26"/>
        <w:rPr>
          <w:color w:val="000000" w:themeColor="text1"/>
          <w:highlight w:val="none"/>
          <w14:textFill>
            <w14:solidFill>
              <w14:schemeClr w14:val="tx1"/>
            </w14:solidFill>
          </w14:textFill>
        </w:rPr>
        <w:sectPr>
          <w:headerReference r:id="rId3" w:type="even"/>
          <w:footerReference r:id="rId4" w:type="even"/>
          <w:pgSz w:w="11906" w:h="16838"/>
          <w:pgMar w:top="567" w:right="1134" w:bottom="1134" w:left="1417" w:header="0" w:footer="0" w:gutter="0"/>
          <w:pgNumType w:fmt="upperRoman" w:start="1"/>
          <w:cols w:space="720" w:num="1"/>
          <w:docGrid w:type="lines" w:linePitch="312" w:charSpace="0"/>
        </w:sectPr>
      </w:pPr>
      <w:r>
        <w:rPr>
          <w:color w:val="000000" w:themeColor="text1"/>
          <w:highlight w:val="none"/>
          <w14:textFill>
            <w14:solidFill>
              <w14:schemeClr w14:val="tx1"/>
            </w14:solidFill>
          </w14:textFill>
        </w:rPr>
        <w:drawing>
          <wp:anchor distT="0" distB="0" distL="114300" distR="114300" simplePos="0" relativeHeight="251659264" behindDoc="1" locked="0" layoutInCell="1" allowOverlap="1">
            <wp:simplePos x="0" y="0"/>
            <wp:positionH relativeFrom="column">
              <wp:align>right</wp:align>
            </wp:positionH>
            <wp:positionV relativeFrom="margin">
              <wp:align>top</wp:align>
            </wp:positionV>
            <wp:extent cx="2162810" cy="962025"/>
            <wp:effectExtent l="0" t="0" r="21590" b="3175"/>
            <wp:wrapNone/>
            <wp:docPr id="1" name="图片 3" descr="微信图片_20191009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微信图片_20191009100248"/>
                    <pic:cNvPicPr>
                      <a:picLocks noChangeAspect="1"/>
                    </pic:cNvPicPr>
                  </pic:nvPicPr>
                  <pic:blipFill>
                    <a:blip r:embed="rId8" cstate="print"/>
                    <a:stretch>
                      <a:fillRect/>
                    </a:stretch>
                  </pic:blipFill>
                  <pic:spPr>
                    <a:xfrm>
                      <a:off x="0" y="0"/>
                      <a:ext cx="2162810" cy="962025"/>
                    </a:xfrm>
                    <a:prstGeom prst="rect">
                      <a:avLst/>
                    </a:prstGeom>
                    <a:noFill/>
                    <a:ln w="9525">
                      <a:noFill/>
                    </a:ln>
                  </pic:spPr>
                </pic:pic>
              </a:graphicData>
            </a:graphic>
          </wp:anchor>
        </w:drawing>
      </w:r>
      <w:r>
        <w:rPr>
          <w:color w:val="000000" w:themeColor="text1"/>
          <w:highlight w:val="none"/>
          <w14:textFill>
            <w14:solidFill>
              <w14:schemeClr w14:val="tx1"/>
            </w14:solidFill>
          </w14:textFill>
        </w:rPr>
        <mc:AlternateContent>
          <mc:Choice Requires="wps">
            <w:drawing>
              <wp:anchor distT="0" distB="0" distL="114300" distR="114300" simplePos="0" relativeHeight="251658240" behindDoc="1" locked="0" layoutInCell="1" allowOverlap="1">
                <wp:simplePos x="0" y="0"/>
                <wp:positionH relativeFrom="column">
                  <wp:posOffset>-62865</wp:posOffset>
                </wp:positionH>
                <wp:positionV relativeFrom="paragraph">
                  <wp:posOffset>396240</wp:posOffset>
                </wp:positionV>
                <wp:extent cx="866775" cy="198120"/>
                <wp:effectExtent l="0" t="0" r="22225" b="5080"/>
                <wp:wrapNone/>
                <wp:docPr id="5" name="矩形 5"/>
                <wp:cNvGraphicFramePr/>
                <a:graphic xmlns:a="http://schemas.openxmlformats.org/drawingml/2006/main">
                  <a:graphicData uri="http://schemas.microsoft.com/office/word/2010/wordprocessingShape">
                    <wps:wsp>
                      <wps:cNvSpPr/>
                      <wps:spPr>
                        <a:xfrm>
                          <a:off x="0" y="0"/>
                          <a:ext cx="866775" cy="198120"/>
                        </a:xfrm>
                        <a:prstGeom prst="rect">
                          <a:avLst/>
                        </a:prstGeom>
                        <a:solidFill>
                          <a:srgbClr val="FFFFFF"/>
                        </a:solidFill>
                        <a:ln w="9525">
                          <a:noFill/>
                        </a:ln>
                        <a:effectLst/>
                      </wps:spPr>
                      <wps:txbx>
                        <w:txbxContent>
                          <w:p/>
                        </w:txbxContent>
                      </wps:txbx>
                      <wps:bodyPr upright="1"/>
                    </wps:wsp>
                  </a:graphicData>
                </a:graphic>
              </wp:anchor>
            </w:drawing>
          </mc:Choice>
          <mc:Fallback>
            <w:pict>
              <v:rect id="_x0000_s1026" o:spid="_x0000_s1026" o:spt="1" style="position:absolute;left:0pt;margin-left:-4.95pt;margin-top:31.2pt;height:15.6pt;width:68.25pt;z-index:-251658240;mso-width-relative:page;mso-height-relative:page;" fillcolor="#FFFFFF" filled="t" stroked="f" coordsize="21600,21600" o:gfxdata="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WAAAAZHJzL1BLAQIUABQA&#10;AAAIAIdO4kBetb3F1gAAAAgBAAAPAAAAAAAAAAEAIAAAADgAAABkcnMvZG93bnJldi54bWxQSwEC&#10;FAAUAAAACACHTuJA/HgNA6cBAAAyAwAADgAAAAAAAAABACAAAAA7AQAAZHJzL2Uyb0RvYy54bWxQ&#10;SwUGAAAAAAYABgBZAQAAVAUAAAAA&#10;">
                <v:fill on="t" focussize="0,0"/>
                <v:stroke on="f"/>
                <v:imagedata o:title=""/>
                <o:lock v:ext="edit" aspectratio="f"/>
                <v:textbox>
                  <w:txbxContent>
                    <w:p/>
                  </w:txbxContent>
                </v:textbox>
              </v:rect>
            </w:pict>
          </mc:Fallback>
        </mc:AlternateContent>
      </w:r>
      <w:r>
        <w:rPr>
          <w:color w:val="000000" w:themeColor="text1"/>
          <w:highlight w:val="none"/>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2339975</wp:posOffset>
                </wp:positionV>
                <wp:extent cx="6120130"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6120130"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0pt;margin-top:184.25pt;height:0pt;width:481.9pt;z-index:251661312;mso-width-relative:page;mso-height-relative:page;" filled="f" stroked="t" coordsize="21600,21600" o:gfxdata="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FgAAAGRycy9QSwECFAAUAAAACACHTuJAykg7&#10;5NUAAAAIAQAADwAAAAAAAAABACAAAAA4AAAAZHJzL2Rvd25yZXYueG1sUEsBAhQAFAAAAAgAh07i&#10;QJIXM5fWAQAAmAMAAA4AAAAAAAAAAQAgAAAAOgEAAGRycy9lMm9Eb2MueG1sUEsFBgAAAAAGAAYA&#10;WQEAAIIFAAAAAA==&#10;">
                <v:fill on="f" focussize="0,0"/>
                <v:stroke color="#000000" joinstyle="round"/>
                <v:imagedata o:title=""/>
                <o:lock v:ext="edit" aspectratio="f"/>
              </v:line>
            </w:pict>
          </mc:Fallback>
        </mc:AlternateContent>
      </w:r>
    </w:p>
    <w:p>
      <w:pPr>
        <w:tabs>
          <w:tab w:val="left" w:pos="959"/>
        </w:tabs>
        <w:autoSpaceDE w:val="0"/>
        <w:autoSpaceDN w:val="0"/>
        <w:spacing w:before="233"/>
        <w:ind w:right="11"/>
        <w:jc w:val="center"/>
        <w:rPr>
          <w:rFonts w:ascii="黑体" w:hAnsi="宋体" w:eastAsia="黑体" w:cs="宋体"/>
          <w:color w:val="000000" w:themeColor="text1"/>
          <w:kern w:val="0"/>
          <w:sz w:val="32"/>
          <w:szCs w:val="22"/>
          <w:highlight w:val="none"/>
          <w:lang w:eastAsia="en-US"/>
          <w14:textFill>
            <w14:solidFill>
              <w14:schemeClr w14:val="tx1"/>
            </w14:solidFill>
          </w14:textFill>
        </w:rPr>
      </w:pPr>
      <w:bookmarkStart w:id="7" w:name="_Toc21892_WPSOffice_Level1"/>
      <w:r>
        <w:rPr>
          <w:rFonts w:ascii="黑体" w:hAnsi="宋体" w:eastAsia="黑体" w:cs="宋体"/>
          <w:color w:val="000000" w:themeColor="text1"/>
          <w:kern w:val="0"/>
          <w:sz w:val="32"/>
          <w:szCs w:val="22"/>
          <w:highlight w:val="none"/>
          <w:lang w:eastAsia="en-US"/>
          <w14:textFill>
            <w14:solidFill>
              <w14:schemeClr w14:val="tx1"/>
            </w14:solidFill>
          </w14:textFill>
        </w:rPr>
        <w:t>目    次</w:t>
      </w:r>
    </w:p>
    <w:p>
      <w:pPr>
        <w:pStyle w:val="9"/>
        <w:tabs>
          <w:tab w:val="right" w:leader="dot" w:pos="9355"/>
          <w:tab w:val="clear" w:pos="9241"/>
        </w:tabs>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TOC \o "1-1" \h \u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fldChar w:fldCharType="begin"/>
      </w:r>
      <w:r>
        <w:rPr>
          <w:highlight w:val="none"/>
        </w:rPr>
        <w:instrText xml:space="preserve"> HYPERLINK \l _Toc2111704039 </w:instrText>
      </w:r>
      <w:r>
        <w:rPr>
          <w:highlight w:val="none"/>
        </w:rPr>
        <w:fldChar w:fldCharType="separate"/>
      </w:r>
      <w:r>
        <w:rPr>
          <w:rFonts w:hint="eastAsia"/>
          <w:highlight w:val="none"/>
        </w:rPr>
        <w:t>前</w:t>
      </w:r>
      <w:r>
        <w:rPr>
          <w:rFonts w:hint="eastAsia" w:ascii="MS Mincho" w:hAnsi="MS Mincho" w:eastAsia="MS Mincho" w:cs="MS Mincho"/>
          <w:highlight w:val="none"/>
        </w:rPr>
        <w:t>  </w:t>
      </w:r>
      <w:r>
        <w:rPr>
          <w:rFonts w:hint="eastAsia"/>
          <w:highlight w:val="none"/>
        </w:rPr>
        <w:t>言</w:t>
      </w:r>
      <w:r>
        <w:tab/>
      </w:r>
      <w:r>
        <w:fldChar w:fldCharType="begin"/>
      </w:r>
      <w:r>
        <w:instrText xml:space="preserve"> PAGEREF _Toc2111704039 </w:instrText>
      </w:r>
      <w:r>
        <w:fldChar w:fldCharType="separate"/>
      </w:r>
      <w:r>
        <w:t>II</w:t>
      </w:r>
      <w:r>
        <w:fldChar w:fldCharType="end"/>
      </w:r>
      <w:r>
        <w:rPr>
          <w:color w:val="000000" w:themeColor="text1"/>
          <w:highlight w:val="none"/>
          <w14:textFill>
            <w14:solidFill>
              <w14:schemeClr w14:val="tx1"/>
            </w14:solidFill>
          </w14:textFill>
        </w:rPr>
        <w:fldChar w:fldCharType="end"/>
      </w:r>
    </w:p>
    <w:p>
      <w:pPr>
        <w:pStyle w:val="9"/>
        <w:tabs>
          <w:tab w:val="right" w:leader="dot" w:pos="9355"/>
          <w:tab w:val="clear" w:pos="9241"/>
        </w:tabs>
      </w:pPr>
      <w:r>
        <w:rPr>
          <w:color w:val="000000" w:themeColor="text1"/>
          <w:highlight w:val="none"/>
          <w14:textFill>
            <w14:solidFill>
              <w14:schemeClr w14:val="tx1"/>
            </w14:solidFill>
          </w14:textFill>
        </w:rPr>
        <w:fldChar w:fldCharType="begin"/>
      </w:r>
      <w:r>
        <w:rPr>
          <w:highlight w:val="none"/>
        </w:rPr>
        <w:instrText xml:space="preserve"> HYPERLINK \l _Toc1080292645 </w:instrText>
      </w:r>
      <w:r>
        <w:rPr>
          <w:highlight w:val="none"/>
        </w:rPr>
        <w:fldChar w:fldCharType="separate"/>
      </w:r>
      <w:r>
        <w:rPr>
          <w:rFonts w:hint="eastAsia" w:ascii="黑体" w:hAnsi="Times New Roman" w:eastAsia="黑体"/>
          <w:i w:val="0"/>
          <w:szCs w:val="21"/>
        </w:rPr>
        <w:t xml:space="preserve">1 </w:t>
      </w:r>
      <w:r>
        <w:rPr>
          <w:rFonts w:hint="eastAsia"/>
          <w:highlight w:val="none"/>
        </w:rPr>
        <w:t>范围</w:t>
      </w:r>
      <w:r>
        <w:tab/>
      </w:r>
      <w:r>
        <w:fldChar w:fldCharType="begin"/>
      </w:r>
      <w:r>
        <w:instrText xml:space="preserve"> PAGEREF _Toc1080292645 </w:instrText>
      </w:r>
      <w:r>
        <w:fldChar w:fldCharType="separate"/>
      </w:r>
      <w:r>
        <w:t>1</w:t>
      </w:r>
      <w:r>
        <w:fldChar w:fldCharType="end"/>
      </w:r>
      <w:r>
        <w:rPr>
          <w:color w:val="000000" w:themeColor="text1"/>
          <w:highlight w:val="none"/>
          <w14:textFill>
            <w14:solidFill>
              <w14:schemeClr w14:val="tx1"/>
            </w14:solidFill>
          </w14:textFill>
        </w:rPr>
        <w:fldChar w:fldCharType="end"/>
      </w:r>
    </w:p>
    <w:p>
      <w:pPr>
        <w:pStyle w:val="9"/>
        <w:tabs>
          <w:tab w:val="right" w:leader="dot" w:pos="9355"/>
          <w:tab w:val="clear" w:pos="9241"/>
        </w:tabs>
      </w:pPr>
      <w:r>
        <w:rPr>
          <w:color w:val="000000" w:themeColor="text1"/>
          <w:highlight w:val="none"/>
          <w14:textFill>
            <w14:solidFill>
              <w14:schemeClr w14:val="tx1"/>
            </w14:solidFill>
          </w14:textFill>
        </w:rPr>
        <w:fldChar w:fldCharType="begin"/>
      </w:r>
      <w:r>
        <w:rPr>
          <w:highlight w:val="none"/>
        </w:rPr>
        <w:instrText xml:space="preserve"> HYPERLINK \l _Toc1651732777 </w:instrText>
      </w:r>
      <w:r>
        <w:rPr>
          <w:highlight w:val="none"/>
        </w:rPr>
        <w:fldChar w:fldCharType="separate"/>
      </w:r>
      <w:r>
        <w:rPr>
          <w:rFonts w:hint="eastAsia" w:ascii="黑体" w:hAnsi="Times New Roman" w:eastAsia="黑体"/>
          <w:i w:val="0"/>
          <w:szCs w:val="21"/>
        </w:rPr>
        <w:t xml:space="preserve">2 </w:t>
      </w:r>
      <w:r>
        <w:rPr>
          <w:rFonts w:hint="eastAsia"/>
          <w:highlight w:val="none"/>
        </w:rPr>
        <w:t>规范性引用文件</w:t>
      </w:r>
      <w:r>
        <w:tab/>
      </w:r>
      <w:r>
        <w:fldChar w:fldCharType="begin"/>
      </w:r>
      <w:r>
        <w:instrText xml:space="preserve"> PAGEREF _Toc1651732777 </w:instrText>
      </w:r>
      <w:r>
        <w:fldChar w:fldCharType="separate"/>
      </w:r>
      <w:r>
        <w:t>1</w:t>
      </w:r>
      <w:r>
        <w:fldChar w:fldCharType="end"/>
      </w:r>
      <w:r>
        <w:rPr>
          <w:color w:val="000000" w:themeColor="text1"/>
          <w:highlight w:val="none"/>
          <w14:textFill>
            <w14:solidFill>
              <w14:schemeClr w14:val="tx1"/>
            </w14:solidFill>
          </w14:textFill>
        </w:rPr>
        <w:fldChar w:fldCharType="end"/>
      </w:r>
    </w:p>
    <w:p>
      <w:pPr>
        <w:pStyle w:val="9"/>
        <w:tabs>
          <w:tab w:val="right" w:leader="dot" w:pos="9355"/>
          <w:tab w:val="clear" w:pos="9241"/>
        </w:tabs>
      </w:pPr>
      <w:r>
        <w:rPr>
          <w:color w:val="000000" w:themeColor="text1"/>
          <w:highlight w:val="none"/>
          <w14:textFill>
            <w14:solidFill>
              <w14:schemeClr w14:val="tx1"/>
            </w14:solidFill>
          </w14:textFill>
        </w:rPr>
        <w:fldChar w:fldCharType="begin"/>
      </w:r>
      <w:r>
        <w:rPr>
          <w:highlight w:val="none"/>
        </w:rPr>
        <w:instrText xml:space="preserve"> HYPERLINK \l _Toc151678270 </w:instrText>
      </w:r>
      <w:r>
        <w:rPr>
          <w:highlight w:val="none"/>
        </w:rPr>
        <w:fldChar w:fldCharType="separate"/>
      </w:r>
      <w:r>
        <w:rPr>
          <w:rFonts w:hint="eastAsia" w:ascii="黑体" w:hAnsi="Times New Roman" w:eastAsia="黑体"/>
          <w:i w:val="0"/>
          <w:szCs w:val="21"/>
        </w:rPr>
        <w:t xml:space="preserve">3 </w:t>
      </w:r>
      <w:r>
        <w:rPr>
          <w:rFonts w:hint="eastAsia"/>
          <w:highlight w:val="none"/>
        </w:rPr>
        <w:t>术语和定义</w:t>
      </w:r>
      <w:r>
        <w:tab/>
      </w:r>
      <w:r>
        <w:fldChar w:fldCharType="begin"/>
      </w:r>
      <w:r>
        <w:instrText xml:space="preserve"> PAGEREF _Toc151678270 </w:instrText>
      </w:r>
      <w:r>
        <w:fldChar w:fldCharType="separate"/>
      </w:r>
      <w:r>
        <w:t>1</w:t>
      </w:r>
      <w:r>
        <w:fldChar w:fldCharType="end"/>
      </w:r>
      <w:r>
        <w:rPr>
          <w:color w:val="000000" w:themeColor="text1"/>
          <w:highlight w:val="none"/>
          <w14:textFill>
            <w14:solidFill>
              <w14:schemeClr w14:val="tx1"/>
            </w14:solidFill>
          </w14:textFill>
        </w:rPr>
        <w:fldChar w:fldCharType="end"/>
      </w:r>
    </w:p>
    <w:p>
      <w:pPr>
        <w:pStyle w:val="9"/>
        <w:tabs>
          <w:tab w:val="right" w:leader="dot" w:pos="9355"/>
          <w:tab w:val="clear" w:pos="9241"/>
        </w:tabs>
      </w:pPr>
      <w:r>
        <w:rPr>
          <w:color w:val="000000" w:themeColor="text1"/>
          <w:highlight w:val="none"/>
          <w14:textFill>
            <w14:solidFill>
              <w14:schemeClr w14:val="tx1"/>
            </w14:solidFill>
          </w14:textFill>
        </w:rPr>
        <w:fldChar w:fldCharType="begin"/>
      </w:r>
      <w:r>
        <w:rPr>
          <w:highlight w:val="none"/>
        </w:rPr>
        <w:instrText xml:space="preserve"> HYPERLINK \l _Toc193594901 </w:instrText>
      </w:r>
      <w:r>
        <w:rPr>
          <w:highlight w:val="none"/>
        </w:rPr>
        <w:fldChar w:fldCharType="separate"/>
      </w:r>
      <w:r>
        <w:rPr>
          <w:rFonts w:hint="eastAsia" w:ascii="黑体" w:hAnsi="Times New Roman" w:eastAsia="黑体"/>
          <w:i w:val="0"/>
          <w:szCs w:val="21"/>
        </w:rPr>
        <w:t xml:space="preserve">4 </w:t>
      </w:r>
      <w:r>
        <w:rPr>
          <w:rFonts w:hint="eastAsia"/>
          <w:highlight w:val="none"/>
        </w:rPr>
        <w:t>基本</w:t>
      </w:r>
      <w:r>
        <w:rPr>
          <w:highlight w:val="none"/>
        </w:rPr>
        <w:t>要求</w:t>
      </w:r>
      <w:r>
        <w:tab/>
      </w:r>
      <w:r>
        <w:fldChar w:fldCharType="begin"/>
      </w:r>
      <w:r>
        <w:instrText xml:space="preserve"> PAGEREF _Toc193594901 </w:instrText>
      </w:r>
      <w:r>
        <w:fldChar w:fldCharType="separate"/>
      </w:r>
      <w:r>
        <w:t>1</w:t>
      </w:r>
      <w:r>
        <w:fldChar w:fldCharType="end"/>
      </w:r>
      <w:r>
        <w:rPr>
          <w:color w:val="000000" w:themeColor="text1"/>
          <w:highlight w:val="none"/>
          <w14:textFill>
            <w14:solidFill>
              <w14:schemeClr w14:val="tx1"/>
            </w14:solidFill>
          </w14:textFill>
        </w:rPr>
        <w:fldChar w:fldCharType="end"/>
      </w:r>
    </w:p>
    <w:p>
      <w:pPr>
        <w:pStyle w:val="9"/>
        <w:tabs>
          <w:tab w:val="right" w:leader="dot" w:pos="9355"/>
          <w:tab w:val="clear" w:pos="9241"/>
        </w:tabs>
      </w:pPr>
      <w:r>
        <w:rPr>
          <w:color w:val="000000" w:themeColor="text1"/>
          <w:highlight w:val="none"/>
          <w14:textFill>
            <w14:solidFill>
              <w14:schemeClr w14:val="tx1"/>
            </w14:solidFill>
          </w14:textFill>
        </w:rPr>
        <w:fldChar w:fldCharType="begin"/>
      </w:r>
      <w:r>
        <w:rPr>
          <w:highlight w:val="none"/>
        </w:rPr>
        <w:instrText xml:space="preserve"> HYPERLINK \l _Toc311775902 </w:instrText>
      </w:r>
      <w:r>
        <w:rPr>
          <w:highlight w:val="none"/>
        </w:rPr>
        <w:fldChar w:fldCharType="separate"/>
      </w:r>
      <w:r>
        <w:rPr>
          <w:rFonts w:hint="eastAsia" w:ascii="黑体" w:hAnsi="Times New Roman" w:eastAsia="黑体"/>
          <w:i w:val="0"/>
          <w:szCs w:val="21"/>
        </w:rPr>
        <w:t xml:space="preserve">5 </w:t>
      </w:r>
      <w:r>
        <w:rPr>
          <w:highlight w:val="none"/>
        </w:rPr>
        <w:t>环境条件</w:t>
      </w:r>
      <w:r>
        <w:tab/>
      </w:r>
      <w:r>
        <w:fldChar w:fldCharType="begin"/>
      </w:r>
      <w:r>
        <w:instrText xml:space="preserve"> PAGEREF _Toc311775902 </w:instrText>
      </w:r>
      <w:r>
        <w:fldChar w:fldCharType="separate"/>
      </w:r>
      <w:r>
        <w:t>2</w:t>
      </w:r>
      <w:r>
        <w:fldChar w:fldCharType="end"/>
      </w:r>
      <w:r>
        <w:rPr>
          <w:color w:val="000000" w:themeColor="text1"/>
          <w:highlight w:val="none"/>
          <w14:textFill>
            <w14:solidFill>
              <w14:schemeClr w14:val="tx1"/>
            </w14:solidFill>
          </w14:textFill>
        </w:rPr>
        <w:fldChar w:fldCharType="end"/>
      </w:r>
    </w:p>
    <w:p>
      <w:pPr>
        <w:pStyle w:val="9"/>
        <w:tabs>
          <w:tab w:val="right" w:leader="dot" w:pos="9355"/>
          <w:tab w:val="clear" w:pos="9241"/>
        </w:tabs>
      </w:pPr>
      <w:r>
        <w:rPr>
          <w:color w:val="000000" w:themeColor="text1"/>
          <w:highlight w:val="none"/>
          <w14:textFill>
            <w14:solidFill>
              <w14:schemeClr w14:val="tx1"/>
            </w14:solidFill>
          </w14:textFill>
        </w:rPr>
        <w:fldChar w:fldCharType="begin"/>
      </w:r>
      <w:r>
        <w:rPr>
          <w:highlight w:val="none"/>
        </w:rPr>
        <w:instrText xml:space="preserve"> HYPERLINK \l _Toc157486234 </w:instrText>
      </w:r>
      <w:r>
        <w:rPr>
          <w:highlight w:val="none"/>
        </w:rPr>
        <w:fldChar w:fldCharType="separate"/>
      </w:r>
      <w:r>
        <w:rPr>
          <w:rFonts w:hint="eastAsia" w:ascii="黑体" w:hAnsi="Times New Roman" w:eastAsia="黑体"/>
          <w:i w:val="0"/>
          <w:szCs w:val="21"/>
        </w:rPr>
        <w:t xml:space="preserve">6 </w:t>
      </w:r>
      <w:r>
        <w:rPr>
          <w:rFonts w:hint="eastAsia"/>
          <w:highlight w:val="none"/>
        </w:rPr>
        <w:t>技术要求</w:t>
      </w:r>
      <w:r>
        <w:tab/>
      </w:r>
      <w:r>
        <w:fldChar w:fldCharType="begin"/>
      </w:r>
      <w:r>
        <w:instrText xml:space="preserve"> PAGEREF _Toc157486234 </w:instrText>
      </w:r>
      <w:r>
        <w:fldChar w:fldCharType="separate"/>
      </w:r>
      <w:r>
        <w:t>2</w:t>
      </w:r>
      <w:r>
        <w:fldChar w:fldCharType="end"/>
      </w:r>
      <w:r>
        <w:rPr>
          <w:color w:val="000000" w:themeColor="text1"/>
          <w:highlight w:val="none"/>
          <w14:textFill>
            <w14:solidFill>
              <w14:schemeClr w14:val="tx1"/>
            </w14:solidFill>
          </w14:textFill>
        </w:rPr>
        <w:fldChar w:fldCharType="end"/>
      </w:r>
    </w:p>
    <w:p>
      <w:pPr>
        <w:pStyle w:val="9"/>
        <w:tabs>
          <w:tab w:val="right" w:leader="dot" w:pos="9355"/>
          <w:tab w:val="clear" w:pos="9241"/>
        </w:tabs>
      </w:pPr>
      <w:r>
        <w:rPr>
          <w:color w:val="000000" w:themeColor="text1"/>
          <w:highlight w:val="none"/>
          <w14:textFill>
            <w14:solidFill>
              <w14:schemeClr w14:val="tx1"/>
            </w14:solidFill>
          </w14:textFill>
        </w:rPr>
        <w:fldChar w:fldCharType="begin"/>
      </w:r>
      <w:r>
        <w:rPr>
          <w:highlight w:val="none"/>
        </w:rPr>
        <w:instrText xml:space="preserve"> HYPERLINK \l _Toc1171281734 </w:instrText>
      </w:r>
      <w:r>
        <w:rPr>
          <w:highlight w:val="none"/>
        </w:rPr>
        <w:fldChar w:fldCharType="separate"/>
      </w:r>
      <w:r>
        <w:rPr>
          <w:rFonts w:hint="eastAsia" w:ascii="黑体" w:hAnsi="Times New Roman" w:eastAsia="黑体"/>
          <w:i w:val="0"/>
          <w:szCs w:val="21"/>
        </w:rPr>
        <w:t xml:space="preserve">7 </w:t>
      </w:r>
      <w:r>
        <w:rPr>
          <w:rFonts w:hint="eastAsia"/>
          <w:highlight w:val="none"/>
        </w:rPr>
        <w:t>试验方法</w:t>
      </w:r>
      <w:r>
        <w:tab/>
      </w:r>
      <w:r>
        <w:fldChar w:fldCharType="begin"/>
      </w:r>
      <w:r>
        <w:instrText xml:space="preserve"> PAGEREF _Toc1171281734 </w:instrText>
      </w:r>
      <w:r>
        <w:fldChar w:fldCharType="separate"/>
      </w:r>
      <w:r>
        <w:t>8</w:t>
      </w:r>
      <w:r>
        <w:fldChar w:fldCharType="end"/>
      </w:r>
      <w:r>
        <w:rPr>
          <w:color w:val="000000" w:themeColor="text1"/>
          <w:highlight w:val="none"/>
          <w14:textFill>
            <w14:solidFill>
              <w14:schemeClr w14:val="tx1"/>
            </w14:solidFill>
          </w14:textFill>
        </w:rPr>
        <w:fldChar w:fldCharType="end"/>
      </w:r>
    </w:p>
    <w:p>
      <w:pPr>
        <w:pStyle w:val="9"/>
        <w:tabs>
          <w:tab w:val="right" w:leader="dot" w:pos="9355"/>
          <w:tab w:val="clear" w:pos="9241"/>
        </w:tabs>
      </w:pPr>
      <w:r>
        <w:rPr>
          <w:color w:val="000000" w:themeColor="text1"/>
          <w:highlight w:val="none"/>
          <w14:textFill>
            <w14:solidFill>
              <w14:schemeClr w14:val="tx1"/>
            </w14:solidFill>
          </w14:textFill>
        </w:rPr>
        <w:fldChar w:fldCharType="begin"/>
      </w:r>
      <w:r>
        <w:rPr>
          <w:highlight w:val="none"/>
        </w:rPr>
        <w:instrText xml:space="preserve"> HYPERLINK \l _Toc1896994936 </w:instrText>
      </w:r>
      <w:r>
        <w:rPr>
          <w:highlight w:val="none"/>
        </w:rPr>
        <w:fldChar w:fldCharType="separate"/>
      </w:r>
      <w:r>
        <w:rPr>
          <w:rFonts w:hint="eastAsia" w:ascii="黑体" w:hAnsi="Times New Roman" w:eastAsia="黑体"/>
          <w:i w:val="0"/>
          <w:szCs w:val="21"/>
        </w:rPr>
        <w:t xml:space="preserve">8 </w:t>
      </w:r>
      <w:r>
        <w:rPr>
          <w:rFonts w:hint="eastAsia"/>
          <w:highlight w:val="none"/>
        </w:rPr>
        <w:t>检验规则</w:t>
      </w:r>
      <w:r>
        <w:tab/>
      </w:r>
      <w:r>
        <w:fldChar w:fldCharType="begin"/>
      </w:r>
      <w:r>
        <w:instrText xml:space="preserve"> PAGEREF _Toc1896994936 </w:instrText>
      </w:r>
      <w:r>
        <w:fldChar w:fldCharType="separate"/>
      </w:r>
      <w:r>
        <w:t>11</w:t>
      </w:r>
      <w:r>
        <w:fldChar w:fldCharType="end"/>
      </w:r>
      <w:r>
        <w:rPr>
          <w:color w:val="000000" w:themeColor="text1"/>
          <w:highlight w:val="none"/>
          <w14:textFill>
            <w14:solidFill>
              <w14:schemeClr w14:val="tx1"/>
            </w14:solidFill>
          </w14:textFill>
        </w:rPr>
        <w:fldChar w:fldCharType="end"/>
      </w:r>
    </w:p>
    <w:p>
      <w:pPr>
        <w:pStyle w:val="9"/>
        <w:tabs>
          <w:tab w:val="right" w:leader="dot" w:pos="9355"/>
          <w:tab w:val="clear" w:pos="9241"/>
        </w:tabs>
      </w:pPr>
      <w:r>
        <w:rPr>
          <w:color w:val="000000" w:themeColor="text1"/>
          <w:highlight w:val="none"/>
          <w14:textFill>
            <w14:solidFill>
              <w14:schemeClr w14:val="tx1"/>
            </w14:solidFill>
          </w14:textFill>
        </w:rPr>
        <w:fldChar w:fldCharType="begin"/>
      </w:r>
      <w:r>
        <w:rPr>
          <w:highlight w:val="none"/>
        </w:rPr>
        <w:instrText xml:space="preserve"> HYPERLINK \l _Toc1251665990 </w:instrText>
      </w:r>
      <w:r>
        <w:rPr>
          <w:highlight w:val="none"/>
        </w:rPr>
        <w:fldChar w:fldCharType="separate"/>
      </w:r>
      <w:r>
        <w:rPr>
          <w:rFonts w:hint="eastAsia" w:ascii="黑体" w:hAnsi="Times New Roman" w:eastAsia="黑体"/>
          <w:i w:val="0"/>
          <w:szCs w:val="21"/>
        </w:rPr>
        <w:t xml:space="preserve">9 </w:t>
      </w:r>
      <w:r>
        <w:rPr>
          <w:rFonts w:hint="eastAsia"/>
          <w:highlight w:val="none"/>
        </w:rPr>
        <w:t>铭牌、包装、运输、贮存</w:t>
      </w:r>
      <w:r>
        <w:tab/>
      </w:r>
      <w:r>
        <w:fldChar w:fldCharType="begin"/>
      </w:r>
      <w:r>
        <w:instrText xml:space="preserve"> PAGEREF _Toc1251665990 </w:instrText>
      </w:r>
      <w:r>
        <w:fldChar w:fldCharType="separate"/>
      </w:r>
      <w:r>
        <w:t>13</w:t>
      </w:r>
      <w:r>
        <w:fldChar w:fldCharType="end"/>
      </w:r>
      <w:r>
        <w:rPr>
          <w:color w:val="000000" w:themeColor="text1"/>
          <w:highlight w:val="none"/>
          <w14:textFill>
            <w14:solidFill>
              <w14:schemeClr w14:val="tx1"/>
            </w14:solidFill>
          </w14:textFill>
        </w:rPr>
        <w:fldChar w:fldCharType="end"/>
      </w:r>
    </w:p>
    <w:p>
      <w:pPr>
        <w:pStyle w:val="9"/>
        <w:tabs>
          <w:tab w:val="right" w:leader="dot" w:pos="9355"/>
          <w:tab w:val="clear" w:pos="9241"/>
        </w:tabs>
      </w:pPr>
      <w:r>
        <w:rPr>
          <w:color w:val="000000" w:themeColor="text1"/>
          <w:highlight w:val="none"/>
          <w14:textFill>
            <w14:solidFill>
              <w14:schemeClr w14:val="tx1"/>
            </w14:solidFill>
          </w14:textFill>
        </w:rPr>
        <w:fldChar w:fldCharType="begin"/>
      </w:r>
      <w:r>
        <w:rPr>
          <w:highlight w:val="none"/>
        </w:rPr>
        <w:instrText xml:space="preserve"> HYPERLINK \l _Toc487918 </w:instrText>
      </w:r>
      <w:r>
        <w:rPr>
          <w:highlight w:val="none"/>
        </w:rPr>
        <w:fldChar w:fldCharType="separate"/>
      </w:r>
      <w:r>
        <w:rPr>
          <w:rFonts w:hint="eastAsia" w:ascii="黑体" w:hAnsi="Times New Roman" w:eastAsia="黑体"/>
          <w:i w:val="0"/>
          <w:szCs w:val="21"/>
        </w:rPr>
        <w:t xml:space="preserve">10 </w:t>
      </w:r>
      <w:r>
        <w:rPr>
          <w:rFonts w:hint="eastAsia"/>
          <w:highlight w:val="none"/>
        </w:rPr>
        <w:t>质量承诺</w:t>
      </w:r>
      <w:r>
        <w:tab/>
      </w:r>
      <w:r>
        <w:fldChar w:fldCharType="begin"/>
      </w:r>
      <w:r>
        <w:instrText xml:space="preserve"> PAGEREF _Toc487918 </w:instrText>
      </w:r>
      <w:r>
        <w:fldChar w:fldCharType="separate"/>
      </w:r>
      <w:r>
        <w:t>14</w:t>
      </w:r>
      <w:r>
        <w:fldChar w:fldCharType="end"/>
      </w:r>
      <w:r>
        <w:rPr>
          <w:color w:val="000000" w:themeColor="text1"/>
          <w:highlight w:val="none"/>
          <w14:textFill>
            <w14:solidFill>
              <w14:schemeClr w14:val="tx1"/>
            </w14:solidFill>
          </w14:textFill>
        </w:rPr>
        <w:fldChar w:fldCharType="end"/>
      </w: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fldChar w:fldCharType="end"/>
      </w:r>
    </w:p>
    <w:p>
      <w:pPr>
        <w:pStyle w:val="29"/>
        <w:rPr>
          <w:color w:val="000000" w:themeColor="text1"/>
          <w:highlight w:val="none"/>
          <w14:textFill>
            <w14:solidFill>
              <w14:schemeClr w14:val="tx1"/>
            </w14:solidFill>
          </w14:textFill>
        </w:rPr>
      </w:pPr>
      <w:bookmarkStart w:id="8" w:name="_Toc2111704039"/>
      <w:bookmarkStart w:id="9" w:name="_Toc1539809749"/>
      <w:bookmarkStart w:id="10" w:name="_Toc1770127161"/>
      <w:bookmarkStart w:id="11" w:name="_Toc245379355"/>
      <w:bookmarkStart w:id="12" w:name="_Toc3574"/>
      <w:bookmarkStart w:id="13" w:name="_Toc155581247"/>
      <w:bookmarkStart w:id="14" w:name="_Toc1391994761"/>
      <w:r>
        <w:rPr>
          <w:rFonts w:hint="eastAsia"/>
          <w:color w:val="000000" w:themeColor="text1"/>
          <w:highlight w:val="none"/>
          <w14:textFill>
            <w14:solidFill>
              <w14:schemeClr w14:val="tx1"/>
            </w14:solidFill>
          </w14:textFill>
        </w:rPr>
        <w:t>前</w:t>
      </w:r>
      <w:bookmarkStart w:id="15" w:name="BKQY"/>
      <w:r>
        <w:rPr>
          <w:rFonts w:hint="eastAsia" w:ascii="MS Mincho" w:hAnsi="MS Mincho" w:eastAsia="MS Mincho" w:cs="MS Mincho"/>
          <w:color w:val="000000" w:themeColor="text1"/>
          <w:highlight w:val="none"/>
          <w14:textFill>
            <w14:solidFill>
              <w14:schemeClr w14:val="tx1"/>
            </w14:solidFill>
          </w14:textFill>
        </w:rPr>
        <w:t>  </w:t>
      </w:r>
      <w:r>
        <w:rPr>
          <w:rFonts w:hint="eastAsia"/>
          <w:color w:val="000000" w:themeColor="text1"/>
          <w:highlight w:val="none"/>
          <w14:textFill>
            <w14:solidFill>
              <w14:schemeClr w14:val="tx1"/>
            </w14:solidFill>
          </w14:textFill>
        </w:rPr>
        <w:t>言</w:t>
      </w:r>
      <w:bookmarkEnd w:id="7"/>
      <w:bookmarkEnd w:id="8"/>
      <w:bookmarkEnd w:id="9"/>
      <w:bookmarkEnd w:id="10"/>
      <w:bookmarkEnd w:id="11"/>
      <w:bookmarkEnd w:id="12"/>
      <w:bookmarkEnd w:id="13"/>
      <w:bookmarkEnd w:id="14"/>
      <w:bookmarkEnd w:id="15"/>
    </w:p>
    <w:p>
      <w:pPr>
        <w:pStyle w:val="26"/>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本文件</w:t>
      </w:r>
      <w:r>
        <w:rPr>
          <w:color w:val="000000" w:themeColor="text1"/>
          <w:highlight w:val="none"/>
          <w:lang w:bidi="en-US"/>
          <w14:textFill>
            <w14:solidFill>
              <w14:schemeClr w14:val="tx1"/>
            </w14:solidFill>
          </w14:textFill>
        </w:rPr>
        <w:t>按照GB/T 1.1</w:t>
      </w:r>
      <w:r>
        <w:rPr>
          <w:rFonts w:hint="eastAsia"/>
          <w:color w:val="000000" w:themeColor="text1"/>
          <w:szCs w:val="21"/>
          <w:highlight w:val="none"/>
          <w:lang w:bidi="en-US"/>
          <w14:textFill>
            <w14:solidFill>
              <w14:schemeClr w14:val="tx1"/>
            </w14:solidFill>
          </w14:textFill>
        </w:rPr>
        <w:t>—</w:t>
      </w:r>
      <w:r>
        <w:rPr>
          <w:color w:val="000000" w:themeColor="text1"/>
          <w:highlight w:val="none"/>
          <w:lang w:bidi="en-US"/>
          <w14:textFill>
            <w14:solidFill>
              <w14:schemeClr w14:val="tx1"/>
            </w14:solidFill>
          </w14:textFill>
        </w:rPr>
        <w:t>20</w:t>
      </w:r>
      <w:r>
        <w:rPr>
          <w:rFonts w:hint="eastAsia"/>
          <w:color w:val="000000" w:themeColor="text1"/>
          <w:highlight w:val="none"/>
          <w:lang w:bidi="en-US"/>
          <w14:textFill>
            <w14:solidFill>
              <w14:schemeClr w14:val="tx1"/>
            </w14:solidFill>
          </w14:textFill>
        </w:rPr>
        <w:t>20</w:t>
      </w:r>
      <w:r>
        <w:rPr>
          <w:color w:val="000000" w:themeColor="text1"/>
          <w:highlight w:val="none"/>
          <w:lang w:bidi="en-US"/>
          <w14:textFill>
            <w14:solidFill>
              <w14:schemeClr w14:val="tx1"/>
            </w14:solidFill>
          </w14:textFill>
        </w:rPr>
        <w:t xml:space="preserve">《标准化工作导则 第1部分：标准化文件的结构和起草规则》的规定起草。 </w:t>
      </w:r>
    </w:p>
    <w:p>
      <w:pPr>
        <w:pStyle w:val="26"/>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请注意本文件的某些内容可能涉及专利</w:t>
      </w:r>
      <w:r>
        <w:rPr>
          <w:color w:val="000000" w:themeColor="text1"/>
          <w:highlight w:val="none"/>
          <w:lang w:bidi="en-US"/>
          <w14:textFill>
            <w14:solidFill>
              <w14:schemeClr w14:val="tx1"/>
            </w14:solidFill>
          </w14:textFill>
        </w:rPr>
        <w:t>，</w:t>
      </w:r>
      <w:r>
        <w:rPr>
          <w:rFonts w:hint="eastAsia"/>
          <w:color w:val="000000" w:themeColor="text1"/>
          <w:highlight w:val="none"/>
          <w:lang w:bidi="en-US"/>
          <w14:textFill>
            <w14:solidFill>
              <w14:schemeClr w14:val="tx1"/>
            </w14:solidFill>
          </w14:textFill>
        </w:rPr>
        <w:t>本文件的发布机构不承担识别这些专利的责任。</w:t>
      </w:r>
    </w:p>
    <w:p>
      <w:pPr>
        <w:pStyle w:val="26"/>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本文件</w:t>
      </w:r>
      <w:r>
        <w:rPr>
          <w:color w:val="000000" w:themeColor="text1"/>
          <w:highlight w:val="none"/>
          <w:lang w:bidi="en-US"/>
          <w14:textFill>
            <w14:solidFill>
              <w14:schemeClr w14:val="tx1"/>
            </w14:solidFill>
          </w14:textFill>
        </w:rPr>
        <w:t xml:space="preserve">由浙江省品牌建设联合会提出并归口。 </w:t>
      </w:r>
    </w:p>
    <w:p>
      <w:pPr>
        <w:pStyle w:val="26"/>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本文件</w:t>
      </w:r>
      <w:r>
        <w:rPr>
          <w:color w:val="000000" w:themeColor="text1"/>
          <w:highlight w:val="none"/>
          <w:lang w:bidi="en-US"/>
          <w14:textFill>
            <w14:solidFill>
              <w14:schemeClr w14:val="tx1"/>
            </w14:solidFill>
          </w14:textFill>
        </w:rPr>
        <w:t>由</w:t>
      </w:r>
      <w:r>
        <w:rPr>
          <w:rFonts w:hint="eastAsia"/>
          <w:color w:val="000000" w:themeColor="text1"/>
          <w:highlight w:val="none"/>
          <w:lang w:bidi="en-US"/>
          <w14:textFill>
            <w14:solidFill>
              <w14:schemeClr w14:val="tx1"/>
            </w14:solidFill>
          </w14:textFill>
        </w:rPr>
        <w:t>浙江省标准化研究院</w:t>
      </w:r>
      <w:r>
        <w:rPr>
          <w:color w:val="000000" w:themeColor="text1"/>
          <w:highlight w:val="none"/>
          <w:lang w:bidi="en-US"/>
          <w14:textFill>
            <w14:solidFill>
              <w14:schemeClr w14:val="tx1"/>
            </w14:solidFill>
          </w14:textFill>
        </w:rPr>
        <w:t xml:space="preserve">牵头组织制定。              </w:t>
      </w:r>
    </w:p>
    <w:p>
      <w:pPr>
        <w:pStyle w:val="26"/>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本文件</w:t>
      </w:r>
      <w:r>
        <w:rPr>
          <w:color w:val="000000" w:themeColor="text1"/>
          <w:highlight w:val="none"/>
          <w:lang w:bidi="en-US"/>
          <w14:textFill>
            <w14:solidFill>
              <w14:schemeClr w14:val="tx1"/>
            </w14:solidFill>
          </w14:textFill>
        </w:rPr>
        <w:t>主要起草单位：</w:t>
      </w:r>
      <w:r>
        <w:rPr>
          <w:rFonts w:hint="eastAsia"/>
          <w:color w:val="000000" w:themeColor="text1"/>
          <w:highlight w:val="none"/>
          <w:lang w:bidi="en-US"/>
          <w14:textFill>
            <w14:solidFill>
              <w14:schemeClr w14:val="tx1"/>
            </w14:solidFill>
          </w14:textFill>
        </w:rPr>
        <w:t>宁波耐森电气科技有限公司</w:t>
      </w:r>
      <w:r>
        <w:rPr>
          <w:color w:val="000000" w:themeColor="text1"/>
          <w:highlight w:val="none"/>
          <w:lang w:bidi="en-US"/>
          <w14:textFill>
            <w14:solidFill>
              <w14:schemeClr w14:val="tx1"/>
            </w14:solidFill>
          </w14:textFill>
        </w:rPr>
        <w:t xml:space="preserve">。       </w:t>
      </w:r>
    </w:p>
    <w:p>
      <w:pPr>
        <w:pStyle w:val="26"/>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本文件</w:t>
      </w:r>
      <w:r>
        <w:rPr>
          <w:color w:val="000000" w:themeColor="text1"/>
          <w:highlight w:val="none"/>
          <w:lang w:bidi="en-US"/>
          <w14:textFill>
            <w14:solidFill>
              <w14:schemeClr w14:val="tx1"/>
            </w14:solidFill>
          </w14:textFill>
        </w:rPr>
        <w:t>参与起草单位：XXXXX。</w:t>
      </w:r>
    </w:p>
    <w:p>
      <w:pPr>
        <w:pStyle w:val="26"/>
        <w:rPr>
          <w:color w:val="000000" w:themeColor="text1"/>
          <w:spacing w:val="-1"/>
          <w:highlight w:val="none"/>
          <w14:textFill>
            <w14:solidFill>
              <w14:schemeClr w14:val="tx1"/>
            </w14:solidFill>
          </w14:textFill>
        </w:rPr>
      </w:pPr>
      <w:r>
        <w:rPr>
          <w:rFonts w:hint="eastAsia"/>
          <w:color w:val="000000" w:themeColor="text1"/>
          <w:highlight w:val="none"/>
          <w:lang w:bidi="en-US"/>
          <w14:textFill>
            <w14:solidFill>
              <w14:schemeClr w14:val="tx1"/>
            </w14:solidFill>
          </w14:textFill>
        </w:rPr>
        <w:t>本文件</w:t>
      </w:r>
      <w:r>
        <w:rPr>
          <w:color w:val="000000" w:themeColor="text1"/>
          <w:highlight w:val="none"/>
          <w:lang w:bidi="en-US"/>
          <w14:textFill>
            <w14:solidFill>
              <w14:schemeClr w14:val="tx1"/>
            </w14:solidFill>
          </w14:textFill>
        </w:rPr>
        <w:t>主要起草人：XXXX</w:t>
      </w:r>
      <w:r>
        <w:rPr>
          <w:rFonts w:hint="eastAsia"/>
          <w:color w:val="000000" w:themeColor="text1"/>
          <w:spacing w:val="-1"/>
          <w:highlight w:val="none"/>
          <w14:textFill>
            <w14:solidFill>
              <w14:schemeClr w14:val="tx1"/>
            </w14:solidFill>
          </w14:textFill>
        </w:rPr>
        <w:t>。</w:t>
      </w:r>
    </w:p>
    <w:p>
      <w:pPr>
        <w:pStyle w:val="26"/>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本文件评审专家组长：</w:t>
      </w:r>
      <w:r>
        <w:rPr>
          <w:color w:val="000000" w:themeColor="text1"/>
          <w:highlight w:val="none"/>
          <w:lang w:bidi="en-US"/>
          <w14:textFill>
            <w14:solidFill>
              <w14:schemeClr w14:val="tx1"/>
            </w14:solidFill>
          </w14:textFill>
        </w:rPr>
        <w:t>XXXX</w:t>
      </w:r>
      <w:r>
        <w:rPr>
          <w:rFonts w:hint="eastAsia"/>
          <w:color w:val="000000" w:themeColor="text1"/>
          <w:highlight w:val="none"/>
          <w:lang w:bidi="en-US"/>
          <w14:textFill>
            <w14:solidFill>
              <w14:schemeClr w14:val="tx1"/>
            </w14:solidFill>
          </w14:textFill>
        </w:rPr>
        <w:t>。</w:t>
      </w:r>
    </w:p>
    <w:p>
      <w:pPr>
        <w:pStyle w:val="26"/>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本文件</w:t>
      </w:r>
      <w:r>
        <w:rPr>
          <w:color w:val="000000" w:themeColor="text1"/>
          <w:highlight w:val="none"/>
          <w:lang w:bidi="en-US"/>
          <w14:textFill>
            <w14:solidFill>
              <w14:schemeClr w14:val="tx1"/>
            </w14:solidFill>
          </w14:textFill>
        </w:rPr>
        <w:t>由</w:t>
      </w:r>
      <w:r>
        <w:rPr>
          <w:rFonts w:hint="eastAsia"/>
          <w:color w:val="000000" w:themeColor="text1"/>
          <w:highlight w:val="none"/>
          <w:lang w:bidi="en-US"/>
          <w14:textFill>
            <w14:solidFill>
              <w14:schemeClr w14:val="tx1"/>
            </w14:solidFill>
          </w14:textFill>
        </w:rPr>
        <w:t>浙江省标准化研究院</w:t>
      </w:r>
      <w:r>
        <w:rPr>
          <w:color w:val="000000" w:themeColor="text1"/>
          <w:highlight w:val="none"/>
          <w:lang w:bidi="en-US"/>
          <w14:textFill>
            <w14:solidFill>
              <w14:schemeClr w14:val="tx1"/>
            </w14:solidFill>
          </w14:textFill>
        </w:rPr>
        <w:t>负责</w:t>
      </w:r>
      <w:r>
        <w:rPr>
          <w:rFonts w:hint="eastAsia"/>
          <w:color w:val="000000" w:themeColor="text1"/>
          <w:highlight w:val="none"/>
          <w:lang w:bidi="en-US"/>
          <w14:textFill>
            <w14:solidFill>
              <w14:schemeClr w14:val="tx1"/>
            </w14:solidFill>
          </w14:textFill>
        </w:rPr>
        <w:t>解释。</w:t>
      </w:r>
    </w:p>
    <w:p>
      <w:pPr>
        <w:pStyle w:val="26"/>
        <w:rPr>
          <w:color w:val="000000" w:themeColor="text1"/>
          <w:highlight w:val="none"/>
          <w14:textFill>
            <w14:solidFill>
              <w14:schemeClr w14:val="tx1"/>
            </w14:solidFill>
          </w14:textFill>
        </w:rPr>
        <w:sectPr>
          <w:headerReference r:id="rId5" w:type="default"/>
          <w:footerReference r:id="rId6" w:type="default"/>
          <w:pgSz w:w="11906" w:h="16838"/>
          <w:pgMar w:top="567" w:right="1134" w:bottom="1134" w:left="1417" w:header="1418" w:footer="1134" w:gutter="0"/>
          <w:pgNumType w:fmt="upperRoman" w:start="1"/>
          <w:cols w:space="720" w:num="1"/>
          <w:formProt w:val="0"/>
          <w:docGrid w:type="lines" w:linePitch="312" w:charSpace="0"/>
        </w:sectPr>
      </w:pPr>
    </w:p>
    <w:p>
      <w:pPr>
        <w:pStyle w:val="30"/>
        <w:spacing w:before="0"/>
        <w:rPr>
          <w:color w:val="000000" w:themeColor="text1"/>
          <w:highlight w:val="none"/>
          <w14:textFill>
            <w14:solidFill>
              <w14:schemeClr w14:val="tx1"/>
            </w14:solidFill>
          </w14:textFill>
        </w:rPr>
      </w:pPr>
      <w:bookmarkStart w:id="16" w:name="_Toc2095033151"/>
      <w:bookmarkStart w:id="17" w:name="_Toc922217245"/>
      <w:r>
        <w:rPr>
          <w:rFonts w:hint="eastAsia"/>
          <w:color w:val="000000" w:themeColor="text1"/>
          <w:highlight w:val="none"/>
          <w14:textFill>
            <w14:solidFill>
              <w14:schemeClr w14:val="tx1"/>
            </w14:solidFill>
          </w14:textFill>
        </w:rPr>
        <w:t>40.5kV海上风电用气体绝缘金属封闭开关设备和控制设备</w:t>
      </w:r>
      <w:bookmarkEnd w:id="16"/>
      <w:bookmarkEnd w:id="17"/>
    </w:p>
    <w:p>
      <w:pPr>
        <w:pStyle w:val="31"/>
        <w:spacing w:before="312" w:after="312"/>
        <w:outlineLvl w:val="0"/>
        <w:rPr>
          <w:color w:val="000000" w:themeColor="text1"/>
          <w:highlight w:val="none"/>
          <w14:textFill>
            <w14:solidFill>
              <w14:schemeClr w14:val="tx1"/>
            </w14:solidFill>
          </w14:textFill>
        </w:rPr>
      </w:pPr>
      <w:bookmarkStart w:id="18" w:name="_Toc1080292645"/>
      <w:bookmarkStart w:id="19" w:name="_Toc1169828805"/>
      <w:bookmarkStart w:id="20" w:name="_Toc229642492"/>
      <w:bookmarkStart w:id="21" w:name="_Toc480968243"/>
      <w:bookmarkStart w:id="22" w:name="_Toc482632097"/>
      <w:bookmarkStart w:id="23" w:name="_Toc7779"/>
      <w:bookmarkStart w:id="24" w:name="_Toc481003740"/>
      <w:bookmarkStart w:id="25" w:name="_Toc482186002"/>
      <w:bookmarkStart w:id="26" w:name="_Toc482185747"/>
      <w:bookmarkStart w:id="27" w:name="_Toc480957369"/>
      <w:bookmarkStart w:id="28" w:name="_Toc1315756316"/>
      <w:bookmarkStart w:id="29" w:name="_Toc1052443772"/>
      <w:bookmarkStart w:id="30" w:name="_Toc2080515072"/>
      <w:bookmarkStart w:id="31" w:name="_Toc480967340"/>
      <w:bookmarkStart w:id="32" w:name="_Toc482185951"/>
      <w:bookmarkStart w:id="33" w:name="_Toc480967275"/>
      <w:bookmarkStart w:id="34" w:name="_Toc482626294"/>
      <w:bookmarkStart w:id="35" w:name="_Toc23130_WPSOffice_Level1"/>
      <w:bookmarkStart w:id="36" w:name="_Toc482185891"/>
      <w:r>
        <w:rPr>
          <w:rFonts w:hint="eastAsia"/>
          <w:color w:val="000000" w:themeColor="text1"/>
          <w:highlight w:val="none"/>
          <w14:textFill>
            <w14:solidFill>
              <w14:schemeClr w14:val="tx1"/>
            </w14:solidFill>
          </w14:textFill>
        </w:rPr>
        <w:t>范围</w:t>
      </w:r>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p>
    <w:p>
      <w:pPr>
        <w:pStyle w:val="26"/>
        <w:autoSpaceDE/>
        <w:autoSpaceDN/>
        <w:rPr>
          <w:rFonts w:hAnsi="宋体"/>
          <w:color w:val="000000" w:themeColor="text1"/>
          <w:highlight w:val="none"/>
          <w:lang w:bidi="en-US"/>
          <w14:textFill>
            <w14:solidFill>
              <w14:schemeClr w14:val="tx1"/>
            </w14:solidFill>
          </w14:textFill>
        </w:rPr>
      </w:pPr>
      <w:r>
        <w:rPr>
          <w:rFonts w:hint="eastAsia" w:hAnsi="宋体"/>
          <w:color w:val="000000" w:themeColor="text1"/>
          <w:highlight w:val="none"/>
          <w:lang w:bidi="en-US"/>
          <w14:textFill>
            <w14:solidFill>
              <w14:schemeClr w14:val="tx1"/>
            </w14:solidFill>
          </w14:textFill>
        </w:rPr>
        <w:t>本文件规定了40.5kV海上风电用气体绝缘金属封闭开关设备和控制设备</w:t>
      </w:r>
      <w:r>
        <w:rPr>
          <w:rFonts w:hAnsi="宋体"/>
          <w:color w:val="000000" w:themeColor="text1"/>
          <w:highlight w:val="none"/>
          <w:lang w:bidi="en-US"/>
          <w14:textFill>
            <w14:solidFill>
              <w14:schemeClr w14:val="tx1"/>
            </w14:solidFill>
          </w14:textFill>
        </w:rPr>
        <w:t>（以下简称海上风电用高压开关柜）</w:t>
      </w:r>
      <w:r>
        <w:rPr>
          <w:rFonts w:hint="eastAsia" w:hAnsi="宋体"/>
          <w:color w:val="000000" w:themeColor="text1"/>
          <w:highlight w:val="none"/>
          <w:lang w:bidi="en-US"/>
          <w14:textFill>
            <w14:solidFill>
              <w14:schemeClr w14:val="tx1"/>
            </w14:solidFill>
          </w14:textFill>
        </w:rPr>
        <w:t>的</w:t>
      </w:r>
      <w:r>
        <w:rPr>
          <w:rFonts w:hAnsi="宋体"/>
          <w:color w:val="000000" w:themeColor="text1"/>
          <w:highlight w:val="none"/>
          <w:lang w:bidi="en-US"/>
          <w14:textFill>
            <w14:solidFill>
              <w14:schemeClr w14:val="tx1"/>
            </w14:solidFill>
          </w14:textFill>
        </w:rPr>
        <w:t>术语和定义、</w:t>
      </w:r>
      <w:r>
        <w:rPr>
          <w:rFonts w:hint="eastAsia" w:hAnsi="宋体"/>
          <w:color w:val="000000" w:themeColor="text1"/>
          <w:highlight w:val="none"/>
          <w:lang w:bidi="en-US"/>
          <w14:textFill>
            <w14:solidFill>
              <w14:schemeClr w14:val="tx1"/>
            </w14:solidFill>
          </w14:textFill>
        </w:rPr>
        <w:t>基本要求、环境条件</w:t>
      </w:r>
      <w:r>
        <w:rPr>
          <w:rFonts w:hAnsi="宋体"/>
          <w:color w:val="000000" w:themeColor="text1"/>
          <w:highlight w:val="none"/>
          <w:lang w:bidi="en-US"/>
          <w14:textFill>
            <w14:solidFill>
              <w14:schemeClr w14:val="tx1"/>
            </w14:solidFill>
          </w14:textFill>
        </w:rPr>
        <w:t>、</w:t>
      </w:r>
      <w:r>
        <w:rPr>
          <w:rFonts w:hint="eastAsia" w:hAnsi="宋体"/>
          <w:color w:val="000000" w:themeColor="text1"/>
          <w:highlight w:val="none"/>
          <w:lang w:bidi="en-US"/>
          <w14:textFill>
            <w14:solidFill>
              <w14:schemeClr w14:val="tx1"/>
            </w14:solidFill>
          </w14:textFill>
        </w:rPr>
        <w:t>技术要求</w:t>
      </w:r>
      <w:r>
        <w:rPr>
          <w:rFonts w:hAnsi="宋体"/>
          <w:color w:val="000000" w:themeColor="text1"/>
          <w:highlight w:val="none"/>
          <w:lang w:bidi="en-US"/>
          <w14:textFill>
            <w14:solidFill>
              <w14:schemeClr w14:val="tx1"/>
            </w14:solidFill>
          </w14:textFill>
        </w:rPr>
        <w:t>、</w:t>
      </w:r>
      <w:r>
        <w:rPr>
          <w:rFonts w:hint="eastAsia" w:hAnsi="宋体"/>
          <w:color w:val="000000" w:themeColor="text1"/>
          <w:highlight w:val="none"/>
          <w:lang w:bidi="en-US"/>
          <w14:textFill>
            <w14:solidFill>
              <w14:schemeClr w14:val="tx1"/>
            </w14:solidFill>
          </w14:textFill>
        </w:rPr>
        <w:t>试验方法、检验规则、铭牌、包装、运输、贮存和质量承诺。</w:t>
      </w:r>
    </w:p>
    <w:p>
      <w:pPr>
        <w:pStyle w:val="26"/>
        <w:autoSpaceDE/>
        <w:autoSpaceDN/>
        <w:rPr>
          <w:rFonts w:hAnsi="宋体"/>
          <w:color w:val="000000" w:themeColor="text1"/>
          <w:highlight w:val="none"/>
          <w:lang w:bidi="en-US"/>
          <w14:textFill>
            <w14:solidFill>
              <w14:schemeClr w14:val="tx1"/>
            </w14:solidFill>
          </w14:textFill>
        </w:rPr>
      </w:pPr>
      <w:r>
        <w:rPr>
          <w:rFonts w:hint="eastAsia" w:hAnsi="宋体"/>
          <w:color w:val="000000" w:themeColor="text1"/>
          <w:highlight w:val="none"/>
          <w:lang w:bidi="en-US"/>
          <w14:textFill>
            <w14:solidFill>
              <w14:schemeClr w14:val="tx1"/>
            </w14:solidFill>
          </w14:textFill>
        </w:rPr>
        <w:t>本文件适用于工厂装配的、额定电压为40.5kV、频率为50Hz、设计压力不超过0.3MPa（相对压力）的海上风电用气体绝缘金属封闭开关设备和控制设备。</w:t>
      </w:r>
    </w:p>
    <w:p>
      <w:pPr>
        <w:pStyle w:val="31"/>
        <w:spacing w:before="312" w:after="312"/>
        <w:outlineLvl w:val="0"/>
        <w:rPr>
          <w:color w:val="000000" w:themeColor="text1"/>
          <w:highlight w:val="none"/>
          <w14:textFill>
            <w14:solidFill>
              <w14:schemeClr w14:val="tx1"/>
            </w14:solidFill>
          </w14:textFill>
        </w:rPr>
      </w:pPr>
      <w:bookmarkStart w:id="37" w:name="_Toc480968244"/>
      <w:bookmarkStart w:id="38" w:name="_Toc482632098"/>
      <w:bookmarkStart w:id="39" w:name="_Toc1099937350"/>
      <w:bookmarkStart w:id="40" w:name="_Toc480967341"/>
      <w:bookmarkStart w:id="41" w:name="_Toc5990"/>
      <w:bookmarkStart w:id="42" w:name="_Toc480957370"/>
      <w:bookmarkStart w:id="43" w:name="_Toc1888074650"/>
      <w:bookmarkStart w:id="44" w:name="_Toc482185892"/>
      <w:bookmarkStart w:id="45" w:name="_Toc481003741"/>
      <w:bookmarkStart w:id="46" w:name="_Toc482185748"/>
      <w:bookmarkStart w:id="47" w:name="_Toc482626295"/>
      <w:bookmarkStart w:id="48" w:name="_Toc18777_WPSOffice_Level1"/>
      <w:bookmarkStart w:id="49" w:name="_Toc1277289853"/>
      <w:bookmarkStart w:id="50" w:name="_Toc573249385"/>
      <w:bookmarkStart w:id="51" w:name="_Toc480967276"/>
      <w:bookmarkStart w:id="52" w:name="_Toc1651732777"/>
      <w:bookmarkStart w:id="53" w:name="_Toc482186003"/>
      <w:bookmarkStart w:id="54" w:name="_Toc1747159312"/>
      <w:bookmarkStart w:id="55" w:name="_Toc482185952"/>
      <w:r>
        <w:rPr>
          <w:rFonts w:hint="eastAsia"/>
          <w:color w:val="000000" w:themeColor="text1"/>
          <w:highlight w:val="none"/>
          <w14:textFill>
            <w14:solidFill>
              <w14:schemeClr w14:val="tx1"/>
            </w14:solidFill>
          </w14:textFill>
        </w:rPr>
        <w:t>规范性引用文件</w:t>
      </w:r>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p>
    <w:p>
      <w:pPr>
        <w:pStyle w:val="26"/>
        <w:autoSpaceDE/>
        <w:autoSpaceDN/>
        <w:rPr>
          <w:color w:val="000000" w:themeColor="text1"/>
          <w:highlight w:val="none"/>
          <w:lang w:bidi="en-US"/>
          <w14:textFill>
            <w14:solidFill>
              <w14:schemeClr w14:val="tx1"/>
            </w14:solidFill>
          </w14:textFill>
        </w:rPr>
      </w:pPr>
      <w:r>
        <w:rPr>
          <w:color w:val="000000" w:themeColor="text1"/>
          <w:highlight w:val="none"/>
          <w:lang w:bidi="en-US"/>
          <w14:textFill>
            <w14:solidFill>
              <w14:schemeClr w14:val="tx1"/>
            </w14:solidFill>
          </w14:textFill>
        </w:rPr>
        <w:t>下列文件中的内容通过文中的规范性引用而构成本文件必不可少的条款。其中</w:t>
      </w:r>
      <w:r>
        <w:rPr>
          <w:rFonts w:hint="eastAsia"/>
          <w:color w:val="000000" w:themeColor="text1"/>
          <w:highlight w:val="none"/>
          <w:lang w:bidi="en-US"/>
          <w14:textFill>
            <w14:solidFill>
              <w14:schemeClr w14:val="tx1"/>
            </w14:solidFill>
          </w14:textFill>
        </w:rPr>
        <w:t>，</w:t>
      </w:r>
      <w:r>
        <w:rPr>
          <w:color w:val="000000" w:themeColor="text1"/>
          <w:highlight w:val="none"/>
          <w:lang w:bidi="en-US"/>
          <w14:textFill>
            <w14:solidFill>
              <w14:schemeClr w14:val="tx1"/>
            </w14:solidFill>
          </w14:textFill>
        </w:rPr>
        <w:t>注日期的引用文件，仅该日期</w:t>
      </w:r>
      <w:r>
        <w:rPr>
          <w:rFonts w:hint="eastAsia"/>
          <w:color w:val="000000" w:themeColor="text1"/>
          <w:highlight w:val="none"/>
          <w:lang w:bidi="en-US"/>
          <w14:textFill>
            <w14:solidFill>
              <w14:schemeClr w14:val="tx1"/>
            </w14:solidFill>
          </w14:textFill>
        </w:rPr>
        <w:t>对应</w:t>
      </w:r>
      <w:r>
        <w:rPr>
          <w:color w:val="000000" w:themeColor="text1"/>
          <w:highlight w:val="none"/>
          <w:lang w:bidi="en-US"/>
          <w14:textFill>
            <w14:solidFill>
              <w14:schemeClr w14:val="tx1"/>
            </w14:solidFill>
          </w14:textFill>
        </w:rPr>
        <w:t>的版本适用于本文件</w:t>
      </w:r>
      <w:r>
        <w:rPr>
          <w:rFonts w:hint="eastAsia"/>
          <w:color w:val="000000" w:themeColor="text1"/>
          <w:highlight w:val="none"/>
          <w:lang w:bidi="en-US"/>
          <w14:textFill>
            <w14:solidFill>
              <w14:schemeClr w14:val="tx1"/>
            </w14:solidFill>
          </w14:textFill>
        </w:rPr>
        <w:t>；</w:t>
      </w:r>
      <w:r>
        <w:rPr>
          <w:color w:val="000000" w:themeColor="text1"/>
          <w:highlight w:val="none"/>
          <w:lang w:bidi="en-US"/>
          <w14:textFill>
            <w14:solidFill>
              <w14:schemeClr w14:val="tx1"/>
            </w14:solidFill>
          </w14:textFill>
        </w:rPr>
        <w:t>不注日期的引用文件，其最新版本（包括所有的修改单）适用于本文件。</w:t>
      </w:r>
    </w:p>
    <w:p>
      <w:pPr>
        <w:pStyle w:val="26"/>
        <w:jc w:val="left"/>
        <w:rPr>
          <w:rFonts w:ascii="Times New Roman"/>
          <w:color w:val="000000" w:themeColor="text1"/>
          <w:szCs w:val="21"/>
          <w:highlight w:val="none"/>
          <w:lang w:bidi="en-US"/>
          <w14:textFill>
            <w14:solidFill>
              <w14:schemeClr w14:val="tx1"/>
            </w14:solidFill>
          </w14:textFill>
        </w:rPr>
      </w:pPr>
      <w:r>
        <w:rPr>
          <w:rFonts w:ascii="Times New Roman"/>
          <w:color w:val="000000" w:themeColor="text1"/>
          <w:szCs w:val="21"/>
          <w:highlight w:val="none"/>
          <w:lang w:bidi="en-US"/>
          <w14:textFill>
            <w14:solidFill>
              <w14:schemeClr w14:val="tx1"/>
            </w14:solidFill>
          </w14:textFill>
        </w:rPr>
        <w:t>GB/T 191</w:t>
      </w:r>
      <w:r>
        <w:rPr>
          <w:rFonts w:hint="eastAsia" w:ascii="Times New Roman"/>
          <w:color w:val="000000" w:themeColor="text1"/>
          <w:highlight w:val="none"/>
          <w:lang w:bidi="en-US"/>
          <w14:textFill>
            <w14:solidFill>
              <w14:schemeClr w14:val="tx1"/>
            </w14:solidFill>
          </w14:textFill>
        </w:rPr>
        <w:t>—</w:t>
      </w:r>
      <w:r>
        <w:rPr>
          <w:rFonts w:ascii="Times New Roman"/>
          <w:color w:val="000000" w:themeColor="text1"/>
          <w:szCs w:val="21"/>
          <w:highlight w:val="none"/>
          <w:lang w:bidi="en-US"/>
          <w14:textFill>
            <w14:solidFill>
              <w14:schemeClr w14:val="tx1"/>
            </w14:solidFill>
          </w14:textFill>
        </w:rPr>
        <w:t>2008  包装储运图示标志</w:t>
      </w:r>
    </w:p>
    <w:p>
      <w:pPr>
        <w:pStyle w:val="26"/>
        <w:jc w:val="left"/>
        <w:rPr>
          <w:rFonts w:ascii="Times New Roman"/>
          <w:color w:val="000000" w:themeColor="text1"/>
          <w:szCs w:val="21"/>
          <w:highlight w:val="none"/>
          <w:lang w:bidi="en-US"/>
          <w14:textFill>
            <w14:solidFill>
              <w14:schemeClr w14:val="tx1"/>
            </w14:solidFill>
          </w14:textFill>
        </w:rPr>
      </w:pPr>
      <w:r>
        <w:rPr>
          <w:rFonts w:ascii="Times New Roman"/>
          <w:color w:val="000000" w:themeColor="text1"/>
          <w:szCs w:val="21"/>
          <w:highlight w:val="none"/>
          <w:lang w:bidi="en-US"/>
          <w14:textFill>
            <w14:solidFill>
              <w14:schemeClr w14:val="tx1"/>
            </w14:solidFill>
          </w14:textFill>
        </w:rPr>
        <w:t>GB/T 1984</w:t>
      </w:r>
      <w:r>
        <w:rPr>
          <w:rFonts w:hint="eastAsia" w:ascii="Times New Roman"/>
          <w:color w:val="000000" w:themeColor="text1"/>
          <w:highlight w:val="none"/>
          <w:lang w:bidi="en-US"/>
          <w14:textFill>
            <w14:solidFill>
              <w14:schemeClr w14:val="tx1"/>
            </w14:solidFill>
          </w14:textFill>
        </w:rPr>
        <w:t>—</w:t>
      </w:r>
      <w:r>
        <w:rPr>
          <w:rFonts w:ascii="Times New Roman"/>
          <w:color w:val="000000" w:themeColor="text1"/>
          <w:szCs w:val="21"/>
          <w:highlight w:val="none"/>
          <w:lang w:bidi="en-US"/>
          <w14:textFill>
            <w14:solidFill>
              <w14:schemeClr w14:val="tx1"/>
            </w14:solidFill>
          </w14:textFill>
        </w:rPr>
        <w:t>2</w:t>
      </w:r>
      <w:r>
        <w:rPr>
          <w:rFonts w:hint="eastAsia" w:ascii="Times New Roman"/>
          <w:color w:val="000000" w:themeColor="text1"/>
          <w:szCs w:val="21"/>
          <w:highlight w:val="none"/>
          <w:lang w:bidi="en-US"/>
          <w14:textFill>
            <w14:solidFill>
              <w14:schemeClr w14:val="tx1"/>
            </w14:solidFill>
          </w14:textFill>
        </w:rPr>
        <w:t>01</w:t>
      </w:r>
      <w:r>
        <w:rPr>
          <w:rFonts w:ascii="Times New Roman"/>
          <w:color w:val="000000" w:themeColor="text1"/>
          <w:szCs w:val="21"/>
          <w:highlight w:val="none"/>
          <w:lang w:bidi="en-US"/>
          <w14:textFill>
            <w14:solidFill>
              <w14:schemeClr w14:val="tx1"/>
            </w14:solidFill>
          </w14:textFill>
        </w:rPr>
        <w:t>4  高压交流断路器</w:t>
      </w:r>
    </w:p>
    <w:p>
      <w:pPr>
        <w:pStyle w:val="26"/>
        <w:jc w:val="left"/>
        <w:rPr>
          <w:rFonts w:ascii="Times New Roman"/>
          <w:color w:val="000000" w:themeColor="text1"/>
          <w:szCs w:val="21"/>
          <w:highlight w:val="none"/>
          <w:lang w:bidi="en-US"/>
          <w14:textFill>
            <w14:solidFill>
              <w14:schemeClr w14:val="tx1"/>
            </w14:solidFill>
          </w14:textFill>
        </w:rPr>
      </w:pPr>
      <w:r>
        <w:rPr>
          <w:rFonts w:ascii="Times New Roman"/>
          <w:color w:val="000000" w:themeColor="text1"/>
          <w:szCs w:val="21"/>
          <w:highlight w:val="none"/>
          <w:lang w:bidi="en-US"/>
          <w14:textFill>
            <w14:solidFill>
              <w14:schemeClr w14:val="tx1"/>
            </w14:solidFill>
          </w14:textFill>
        </w:rPr>
        <w:t>GB/T 1985</w:t>
      </w:r>
      <w:r>
        <w:rPr>
          <w:rFonts w:hint="eastAsia" w:ascii="Times New Roman"/>
          <w:color w:val="000000" w:themeColor="text1"/>
          <w:highlight w:val="none"/>
          <w:lang w:bidi="en-US"/>
          <w14:textFill>
            <w14:solidFill>
              <w14:schemeClr w14:val="tx1"/>
            </w14:solidFill>
          </w14:textFill>
        </w:rPr>
        <w:t>—</w:t>
      </w:r>
      <w:r>
        <w:rPr>
          <w:rFonts w:ascii="Times New Roman"/>
          <w:color w:val="000000" w:themeColor="text1"/>
          <w:szCs w:val="21"/>
          <w:highlight w:val="none"/>
          <w:lang w:bidi="en-US"/>
          <w14:textFill>
            <w14:solidFill>
              <w14:schemeClr w14:val="tx1"/>
            </w14:solidFill>
          </w14:textFill>
        </w:rPr>
        <w:t>2</w:t>
      </w:r>
      <w:r>
        <w:rPr>
          <w:rFonts w:hint="eastAsia" w:ascii="Times New Roman"/>
          <w:color w:val="000000" w:themeColor="text1"/>
          <w:szCs w:val="21"/>
          <w:highlight w:val="none"/>
          <w:lang w:bidi="en-US"/>
          <w14:textFill>
            <w14:solidFill>
              <w14:schemeClr w14:val="tx1"/>
            </w14:solidFill>
          </w14:textFill>
        </w:rPr>
        <w:t>01</w:t>
      </w:r>
      <w:r>
        <w:rPr>
          <w:rFonts w:ascii="Times New Roman"/>
          <w:color w:val="000000" w:themeColor="text1"/>
          <w:szCs w:val="21"/>
          <w:highlight w:val="none"/>
          <w:lang w:bidi="en-US"/>
          <w14:textFill>
            <w14:solidFill>
              <w14:schemeClr w14:val="tx1"/>
            </w14:solidFill>
          </w14:textFill>
        </w:rPr>
        <w:t>4  高压交流隔离开关和接地开关</w:t>
      </w:r>
    </w:p>
    <w:p>
      <w:pPr>
        <w:pStyle w:val="26"/>
        <w:jc w:val="left"/>
        <w:rPr>
          <w:rFonts w:ascii="Times New Roman"/>
          <w:color w:val="000000" w:themeColor="text1"/>
          <w:szCs w:val="21"/>
          <w:highlight w:val="none"/>
          <w:lang w:bidi="en-US"/>
          <w14:textFill>
            <w14:solidFill>
              <w14:schemeClr w14:val="tx1"/>
            </w14:solidFill>
          </w14:textFill>
        </w:rPr>
      </w:pPr>
      <w:r>
        <w:rPr>
          <w:rFonts w:ascii="Times New Roman"/>
          <w:color w:val="000000" w:themeColor="text1"/>
          <w:szCs w:val="21"/>
          <w:highlight w:val="none"/>
          <w:lang w:bidi="en-US"/>
          <w14:textFill>
            <w14:solidFill>
              <w14:schemeClr w14:val="tx1"/>
            </w14:solidFill>
          </w14:textFill>
        </w:rPr>
        <w:t>GB/T 2423.1</w:t>
      </w:r>
      <w:r>
        <w:rPr>
          <w:rFonts w:hint="eastAsia" w:ascii="Times New Roman"/>
          <w:color w:val="000000" w:themeColor="text1"/>
          <w:highlight w:val="none"/>
          <w:lang w:bidi="en-US"/>
          <w14:textFill>
            <w14:solidFill>
              <w14:schemeClr w14:val="tx1"/>
            </w14:solidFill>
          </w14:textFill>
        </w:rPr>
        <w:t>—</w:t>
      </w:r>
      <w:r>
        <w:rPr>
          <w:rFonts w:ascii="Times New Roman"/>
          <w:color w:val="000000" w:themeColor="text1"/>
          <w:szCs w:val="21"/>
          <w:highlight w:val="none"/>
          <w:lang w:bidi="en-US"/>
          <w14:textFill>
            <w14:solidFill>
              <w14:schemeClr w14:val="tx1"/>
            </w14:solidFill>
          </w14:textFill>
        </w:rPr>
        <w:t>2008  电工电子产品环境试验  第2部分：试验方法 试验A：低温</w:t>
      </w:r>
    </w:p>
    <w:p>
      <w:pPr>
        <w:pStyle w:val="26"/>
        <w:jc w:val="left"/>
        <w:rPr>
          <w:rFonts w:ascii="Times New Roman"/>
          <w:color w:val="000000" w:themeColor="text1"/>
          <w:szCs w:val="21"/>
          <w:highlight w:val="none"/>
          <w:lang w:bidi="en-US"/>
          <w14:textFill>
            <w14:solidFill>
              <w14:schemeClr w14:val="tx1"/>
            </w14:solidFill>
          </w14:textFill>
        </w:rPr>
      </w:pPr>
      <w:r>
        <w:rPr>
          <w:rFonts w:ascii="Times New Roman"/>
          <w:color w:val="000000" w:themeColor="text1"/>
          <w:szCs w:val="21"/>
          <w:highlight w:val="none"/>
          <w:lang w:bidi="en-US"/>
          <w14:textFill>
            <w14:solidFill>
              <w14:schemeClr w14:val="tx1"/>
            </w14:solidFill>
          </w14:textFill>
        </w:rPr>
        <w:t>GB/T 2423.10</w:t>
      </w:r>
      <w:r>
        <w:rPr>
          <w:rFonts w:hint="eastAsia" w:ascii="Times New Roman"/>
          <w:color w:val="000000" w:themeColor="text1"/>
          <w:highlight w:val="none"/>
          <w:lang w:bidi="en-US"/>
          <w14:textFill>
            <w14:solidFill>
              <w14:schemeClr w14:val="tx1"/>
            </w14:solidFill>
          </w14:textFill>
        </w:rPr>
        <w:t>—</w:t>
      </w:r>
      <w:r>
        <w:rPr>
          <w:rFonts w:ascii="Times New Roman"/>
          <w:color w:val="000000" w:themeColor="text1"/>
          <w:szCs w:val="21"/>
          <w:highlight w:val="none"/>
          <w:lang w:bidi="en-US"/>
          <w14:textFill>
            <w14:solidFill>
              <w14:schemeClr w14:val="tx1"/>
            </w14:solidFill>
          </w14:textFill>
        </w:rPr>
        <w:t>2</w:t>
      </w:r>
      <w:r>
        <w:rPr>
          <w:rFonts w:hint="eastAsia" w:ascii="Times New Roman"/>
          <w:color w:val="000000" w:themeColor="text1"/>
          <w:szCs w:val="21"/>
          <w:highlight w:val="none"/>
          <w:lang w:bidi="en-US"/>
          <w14:textFill>
            <w14:solidFill>
              <w14:schemeClr w14:val="tx1"/>
            </w14:solidFill>
          </w14:textFill>
        </w:rPr>
        <w:t>019</w:t>
      </w:r>
      <w:r>
        <w:rPr>
          <w:rFonts w:ascii="Times New Roman"/>
          <w:color w:val="000000" w:themeColor="text1"/>
          <w:szCs w:val="21"/>
          <w:highlight w:val="none"/>
          <w:lang w:bidi="en-US"/>
          <w14:textFill>
            <w14:solidFill>
              <w14:schemeClr w14:val="tx1"/>
            </w14:solidFill>
          </w14:textFill>
        </w:rPr>
        <w:t>环境试验  第2部分：试验方法 试验Fc：振动(正弦)</w:t>
      </w:r>
    </w:p>
    <w:p>
      <w:pPr>
        <w:pStyle w:val="26"/>
        <w:jc w:val="left"/>
        <w:rPr>
          <w:rFonts w:ascii="Times New Roman"/>
          <w:color w:val="000000" w:themeColor="text1"/>
          <w:szCs w:val="21"/>
          <w:highlight w:val="none"/>
          <w:lang w:bidi="en-US"/>
          <w14:textFill>
            <w14:solidFill>
              <w14:schemeClr w14:val="tx1"/>
            </w14:solidFill>
          </w14:textFill>
        </w:rPr>
      </w:pPr>
      <w:r>
        <w:rPr>
          <w:rFonts w:ascii="Times New Roman"/>
          <w:color w:val="000000" w:themeColor="text1"/>
          <w:szCs w:val="21"/>
          <w:highlight w:val="none"/>
          <w:lang w:bidi="en-US"/>
          <w14:textFill>
            <w14:solidFill>
              <w14:schemeClr w14:val="tx1"/>
            </w14:solidFill>
          </w14:textFill>
        </w:rPr>
        <w:t>GB/T 2423.16</w:t>
      </w:r>
      <w:r>
        <w:rPr>
          <w:rFonts w:hint="eastAsia" w:ascii="Times New Roman"/>
          <w:color w:val="000000" w:themeColor="text1"/>
          <w:highlight w:val="none"/>
          <w:lang w:bidi="en-US"/>
          <w14:textFill>
            <w14:solidFill>
              <w14:schemeClr w14:val="tx1"/>
            </w14:solidFill>
          </w14:textFill>
        </w:rPr>
        <w:t>—</w:t>
      </w:r>
      <w:r>
        <w:rPr>
          <w:rFonts w:ascii="Times New Roman"/>
          <w:color w:val="000000" w:themeColor="text1"/>
          <w:szCs w:val="21"/>
          <w:highlight w:val="none"/>
          <w:lang w:bidi="en-US"/>
          <w14:textFill>
            <w14:solidFill>
              <w14:schemeClr w14:val="tx1"/>
            </w14:solidFill>
          </w14:textFill>
        </w:rPr>
        <w:t>2008  电工电子产品环境试验  第2部分：试验方法 试验J及导则：长霉</w:t>
      </w:r>
    </w:p>
    <w:p>
      <w:pPr>
        <w:pStyle w:val="26"/>
        <w:jc w:val="left"/>
        <w:rPr>
          <w:rFonts w:ascii="Times New Roman"/>
          <w:color w:val="000000" w:themeColor="text1"/>
          <w:szCs w:val="21"/>
          <w:highlight w:val="none"/>
          <w:lang w:bidi="en-US"/>
          <w14:textFill>
            <w14:solidFill>
              <w14:schemeClr w14:val="tx1"/>
            </w14:solidFill>
          </w14:textFill>
        </w:rPr>
      </w:pPr>
      <w:r>
        <w:rPr>
          <w:rFonts w:ascii="Times New Roman"/>
          <w:color w:val="000000" w:themeColor="text1"/>
          <w:szCs w:val="21"/>
          <w:highlight w:val="none"/>
          <w:lang w:bidi="en-US"/>
          <w14:textFill>
            <w14:solidFill>
              <w14:schemeClr w14:val="tx1"/>
            </w14:solidFill>
          </w14:textFill>
        </w:rPr>
        <w:t>GB/T 2423.17</w:t>
      </w:r>
      <w:r>
        <w:rPr>
          <w:rFonts w:hint="eastAsia" w:ascii="Times New Roman"/>
          <w:color w:val="000000" w:themeColor="text1"/>
          <w:highlight w:val="none"/>
          <w:lang w:bidi="en-US"/>
          <w14:textFill>
            <w14:solidFill>
              <w14:schemeClr w14:val="tx1"/>
            </w14:solidFill>
          </w14:textFill>
        </w:rPr>
        <w:t>—</w:t>
      </w:r>
      <w:r>
        <w:rPr>
          <w:rFonts w:ascii="Times New Roman"/>
          <w:color w:val="000000" w:themeColor="text1"/>
          <w:szCs w:val="21"/>
          <w:highlight w:val="none"/>
          <w:lang w:bidi="en-US"/>
          <w14:textFill>
            <w14:solidFill>
              <w14:schemeClr w14:val="tx1"/>
            </w14:solidFill>
          </w14:textFill>
        </w:rPr>
        <w:t>2</w:t>
      </w:r>
      <w:r>
        <w:rPr>
          <w:rFonts w:hint="eastAsia" w:ascii="Times New Roman"/>
          <w:color w:val="000000" w:themeColor="text1"/>
          <w:szCs w:val="21"/>
          <w:highlight w:val="none"/>
          <w:lang w:bidi="en-US"/>
          <w14:textFill>
            <w14:solidFill>
              <w14:schemeClr w14:val="tx1"/>
            </w14:solidFill>
          </w14:textFill>
        </w:rPr>
        <w:t>008</w:t>
      </w:r>
      <w:r>
        <w:rPr>
          <w:rFonts w:ascii="Times New Roman"/>
          <w:color w:val="000000" w:themeColor="text1"/>
          <w:szCs w:val="21"/>
          <w:highlight w:val="none"/>
          <w:lang w:bidi="en-US"/>
          <w14:textFill>
            <w14:solidFill>
              <w14:schemeClr w14:val="tx1"/>
            </w14:solidFill>
          </w14:textFill>
        </w:rPr>
        <w:t xml:space="preserve">  电工电子产品环境试验  第2部分：试验方法 试验Ka：盐雾</w:t>
      </w:r>
    </w:p>
    <w:p>
      <w:pPr>
        <w:pStyle w:val="26"/>
        <w:jc w:val="left"/>
        <w:rPr>
          <w:rFonts w:ascii="Times New Roman"/>
          <w:color w:val="000000" w:themeColor="text1"/>
          <w:szCs w:val="21"/>
          <w:highlight w:val="none"/>
          <w:lang w:bidi="en-US"/>
          <w14:textFill>
            <w14:solidFill>
              <w14:schemeClr w14:val="tx1"/>
            </w14:solidFill>
          </w14:textFill>
        </w:rPr>
      </w:pPr>
      <w:r>
        <w:rPr>
          <w:rFonts w:ascii="Times New Roman"/>
          <w:color w:val="000000" w:themeColor="text1"/>
          <w:szCs w:val="21"/>
          <w:highlight w:val="none"/>
          <w:lang w:bidi="en-US"/>
          <w14:textFill>
            <w14:solidFill>
              <w14:schemeClr w14:val="tx1"/>
            </w14:solidFill>
          </w14:textFill>
        </w:rPr>
        <w:t>GB/T 2423.4</w:t>
      </w:r>
      <w:r>
        <w:rPr>
          <w:rFonts w:hint="eastAsia" w:ascii="Times New Roman"/>
          <w:color w:val="000000" w:themeColor="text1"/>
          <w:highlight w:val="none"/>
          <w:lang w:bidi="en-US"/>
          <w14:textFill>
            <w14:solidFill>
              <w14:schemeClr w14:val="tx1"/>
            </w14:solidFill>
          </w14:textFill>
        </w:rPr>
        <w:t>—</w:t>
      </w:r>
      <w:r>
        <w:rPr>
          <w:rFonts w:ascii="Times New Roman"/>
          <w:color w:val="000000" w:themeColor="text1"/>
          <w:szCs w:val="21"/>
          <w:highlight w:val="none"/>
          <w:lang w:bidi="en-US"/>
          <w14:textFill>
            <w14:solidFill>
              <w14:schemeClr w14:val="tx1"/>
            </w14:solidFill>
          </w14:textFill>
        </w:rPr>
        <w:t>2008  电工电子产品环境试验  第2部分：试验方法 试验Db 交变湿热（12h＋12h循环）</w:t>
      </w:r>
    </w:p>
    <w:p>
      <w:pPr>
        <w:pStyle w:val="26"/>
        <w:jc w:val="left"/>
        <w:rPr>
          <w:rFonts w:ascii="Times New Roman"/>
          <w:color w:val="000000" w:themeColor="text1"/>
          <w:szCs w:val="21"/>
          <w:highlight w:val="none"/>
          <w:lang w:bidi="en-US"/>
          <w14:textFill>
            <w14:solidFill>
              <w14:schemeClr w14:val="tx1"/>
            </w14:solidFill>
          </w14:textFill>
        </w:rPr>
      </w:pPr>
      <w:r>
        <w:rPr>
          <w:rFonts w:ascii="Times New Roman"/>
          <w:color w:val="000000" w:themeColor="text1"/>
          <w:szCs w:val="21"/>
          <w:highlight w:val="none"/>
          <w:lang w:bidi="en-US"/>
          <w14:textFill>
            <w14:solidFill>
              <w14:schemeClr w14:val="tx1"/>
            </w14:solidFill>
          </w14:textFill>
        </w:rPr>
        <w:t>GB/T 3804</w:t>
      </w:r>
      <w:r>
        <w:rPr>
          <w:rFonts w:ascii="Times New Roman Regular" w:hAnsi="Times New Roman Regular" w:cs="Times New Roman Regular"/>
          <w:color w:val="000000" w:themeColor="text1"/>
          <w:szCs w:val="21"/>
          <w:highlight w:val="none"/>
          <w:lang w:bidi="en-US"/>
          <w14:textFill>
            <w14:solidFill>
              <w14:schemeClr w14:val="tx1"/>
            </w14:solidFill>
          </w14:textFill>
        </w:rPr>
        <w:t>—</w:t>
      </w:r>
      <w:r>
        <w:rPr>
          <w:rFonts w:hint="eastAsia" w:ascii="Times New Roman"/>
          <w:color w:val="000000" w:themeColor="text1"/>
          <w:szCs w:val="21"/>
          <w:highlight w:val="none"/>
          <w:lang w:bidi="en-US"/>
          <w14:textFill>
            <w14:solidFill>
              <w14:schemeClr w14:val="tx1"/>
            </w14:solidFill>
          </w14:textFill>
        </w:rPr>
        <w:t>201</w:t>
      </w:r>
      <w:r>
        <w:rPr>
          <w:rFonts w:ascii="Times New Roman"/>
          <w:color w:val="000000" w:themeColor="text1"/>
          <w:szCs w:val="21"/>
          <w:highlight w:val="none"/>
          <w:lang w:bidi="en-US"/>
          <w14:textFill>
            <w14:solidFill>
              <w14:schemeClr w14:val="tx1"/>
            </w14:solidFill>
          </w14:textFill>
        </w:rPr>
        <w:t xml:space="preserve">7  3.6 kV～40.5 kV高压交流负荷开关 </w:t>
      </w:r>
    </w:p>
    <w:p>
      <w:pPr>
        <w:pStyle w:val="26"/>
        <w:jc w:val="left"/>
        <w:rPr>
          <w:rFonts w:ascii="Times New Roman"/>
          <w:color w:val="000000" w:themeColor="text1"/>
          <w:szCs w:val="21"/>
          <w:highlight w:val="none"/>
          <w:lang w:bidi="en-US"/>
          <w14:textFill>
            <w14:solidFill>
              <w14:schemeClr w14:val="tx1"/>
            </w14:solidFill>
          </w14:textFill>
        </w:rPr>
      </w:pPr>
      <w:r>
        <w:rPr>
          <w:rFonts w:ascii="Times New Roman"/>
          <w:color w:val="000000" w:themeColor="text1"/>
          <w:szCs w:val="21"/>
          <w:highlight w:val="none"/>
          <w:lang w:bidi="en-US"/>
          <w14:textFill>
            <w14:solidFill>
              <w14:schemeClr w14:val="tx1"/>
            </w14:solidFill>
          </w14:textFill>
        </w:rPr>
        <w:t>GB/T 3906</w:t>
      </w:r>
      <w:r>
        <w:rPr>
          <w:rFonts w:hint="eastAsia" w:ascii="Times New Roman"/>
          <w:color w:val="000000" w:themeColor="text1"/>
          <w:highlight w:val="none"/>
          <w:lang w:bidi="en-US"/>
          <w14:textFill>
            <w14:solidFill>
              <w14:schemeClr w14:val="tx1"/>
            </w14:solidFill>
          </w14:textFill>
        </w:rPr>
        <w:t>—</w:t>
      </w:r>
      <w:r>
        <w:rPr>
          <w:rFonts w:ascii="Times New Roman"/>
          <w:color w:val="000000" w:themeColor="text1"/>
          <w:szCs w:val="21"/>
          <w:highlight w:val="none"/>
          <w:lang w:bidi="en-US"/>
          <w14:textFill>
            <w14:solidFill>
              <w14:schemeClr w14:val="tx1"/>
            </w14:solidFill>
          </w14:textFill>
        </w:rPr>
        <w:t>2020  3.6kV～40.5kV交流金属封闭开关设备和控制设备</w:t>
      </w:r>
    </w:p>
    <w:p>
      <w:pPr>
        <w:pStyle w:val="26"/>
        <w:jc w:val="left"/>
        <w:rPr>
          <w:rFonts w:ascii="Times New Roman"/>
          <w:color w:val="000000" w:themeColor="text1"/>
          <w:szCs w:val="21"/>
          <w:highlight w:val="none"/>
          <w:lang w:bidi="en-US"/>
          <w14:textFill>
            <w14:solidFill>
              <w14:schemeClr w14:val="tx1"/>
            </w14:solidFill>
          </w14:textFill>
        </w:rPr>
      </w:pPr>
      <w:r>
        <w:rPr>
          <w:rFonts w:hint="eastAsia" w:ascii="Times New Roman"/>
          <w:color w:val="000000" w:themeColor="text1"/>
          <w:szCs w:val="21"/>
          <w:highlight w:val="none"/>
          <w:lang w:bidi="en-US"/>
          <w14:textFill>
            <w14:solidFill>
              <w14:schemeClr w14:val="tx1"/>
            </w14:solidFill>
          </w14:textFill>
        </w:rPr>
        <w:t>GB/T 5169.16</w:t>
      </w:r>
      <w:r>
        <w:rPr>
          <w:rFonts w:hint="eastAsia" w:ascii="Times New Roman"/>
          <w:color w:val="000000" w:themeColor="text1"/>
          <w:highlight w:val="none"/>
          <w:lang w:bidi="en-US"/>
          <w14:textFill>
            <w14:solidFill>
              <w14:schemeClr w14:val="tx1"/>
            </w14:solidFill>
          </w14:textFill>
        </w:rPr>
        <w:t>—</w:t>
      </w:r>
      <w:r>
        <w:rPr>
          <w:rFonts w:ascii="Times New Roman"/>
          <w:color w:val="000000" w:themeColor="text1"/>
          <w:szCs w:val="21"/>
          <w:highlight w:val="none"/>
          <w:lang w:bidi="en-US"/>
          <w14:textFill>
            <w14:solidFill>
              <w14:schemeClr w14:val="tx1"/>
            </w14:solidFill>
          </w14:textFill>
        </w:rPr>
        <w:t>2</w:t>
      </w:r>
      <w:r>
        <w:rPr>
          <w:rFonts w:hint="eastAsia" w:ascii="Times New Roman"/>
          <w:color w:val="000000" w:themeColor="text1"/>
          <w:szCs w:val="21"/>
          <w:highlight w:val="none"/>
          <w:lang w:bidi="en-US"/>
          <w14:textFill>
            <w14:solidFill>
              <w14:schemeClr w14:val="tx1"/>
            </w14:solidFill>
          </w14:textFill>
        </w:rPr>
        <w:t>017</w:t>
      </w:r>
      <w:r>
        <w:rPr>
          <w:rFonts w:ascii="Times New Roman"/>
          <w:color w:val="000000" w:themeColor="text1"/>
          <w:szCs w:val="21"/>
          <w:highlight w:val="none"/>
          <w:lang w:bidi="en-US"/>
          <w14:textFill>
            <w14:solidFill>
              <w14:schemeClr w14:val="tx1"/>
            </w14:solidFill>
          </w14:textFill>
        </w:rPr>
        <w:t xml:space="preserve">  电工电子产品着火危险试验  第16部分：试验火焰 50W水平与垂直火焰试验方法</w:t>
      </w:r>
    </w:p>
    <w:p>
      <w:pPr>
        <w:pStyle w:val="26"/>
        <w:jc w:val="left"/>
        <w:rPr>
          <w:rFonts w:ascii="Times New Roman"/>
          <w:color w:val="000000" w:themeColor="text1"/>
          <w:szCs w:val="21"/>
          <w:highlight w:val="none"/>
          <w:lang w:bidi="en-US"/>
          <w14:textFill>
            <w14:solidFill>
              <w14:schemeClr w14:val="tx1"/>
            </w14:solidFill>
          </w14:textFill>
        </w:rPr>
      </w:pPr>
      <w:r>
        <w:rPr>
          <w:rFonts w:ascii="Times New Roman"/>
          <w:color w:val="000000" w:themeColor="text1"/>
          <w:szCs w:val="21"/>
          <w:highlight w:val="none"/>
          <w:lang w:bidi="en-US"/>
          <w14:textFill>
            <w14:solidFill>
              <w14:schemeClr w14:val="tx1"/>
            </w14:solidFill>
          </w14:textFill>
        </w:rPr>
        <w:t>GB/T 11022</w:t>
      </w:r>
      <w:r>
        <w:rPr>
          <w:rFonts w:hint="eastAsia" w:ascii="Times New Roman"/>
          <w:color w:val="000000" w:themeColor="text1"/>
          <w:highlight w:val="none"/>
          <w:lang w:bidi="en-US"/>
          <w14:textFill>
            <w14:solidFill>
              <w14:schemeClr w14:val="tx1"/>
            </w14:solidFill>
          </w14:textFill>
        </w:rPr>
        <w:t>—</w:t>
      </w:r>
      <w:r>
        <w:rPr>
          <w:rFonts w:ascii="Times New Roman"/>
          <w:color w:val="000000" w:themeColor="text1"/>
          <w:szCs w:val="21"/>
          <w:highlight w:val="none"/>
          <w:lang w:bidi="en-US"/>
          <w14:textFill>
            <w14:solidFill>
              <w14:schemeClr w14:val="tx1"/>
            </w14:solidFill>
          </w14:textFill>
        </w:rPr>
        <w:t>2020  高压开关设备和控制设备标准的共用技术要求</w:t>
      </w:r>
    </w:p>
    <w:p>
      <w:pPr>
        <w:pStyle w:val="26"/>
        <w:jc w:val="left"/>
        <w:rPr>
          <w:rFonts w:ascii="Times New Roman"/>
          <w:color w:val="000000" w:themeColor="text1"/>
          <w:szCs w:val="21"/>
          <w:highlight w:val="none"/>
          <w:lang w:bidi="en-US"/>
          <w14:textFill>
            <w14:solidFill>
              <w14:schemeClr w14:val="tx1"/>
            </w14:solidFill>
          </w14:textFill>
        </w:rPr>
      </w:pPr>
      <w:r>
        <w:rPr>
          <w:rFonts w:hint="eastAsia" w:ascii="Times New Roman"/>
          <w:color w:val="000000" w:themeColor="text1"/>
          <w:szCs w:val="21"/>
          <w:highlight w:val="none"/>
          <w:lang w:bidi="en-US"/>
          <w14:textFill>
            <w14:solidFill>
              <w14:schemeClr w14:val="tx1"/>
            </w14:solidFill>
          </w14:textFill>
        </w:rPr>
        <w:t>GB/T 16927.1</w:t>
      </w:r>
      <w:r>
        <w:rPr>
          <w:rFonts w:ascii="Times New Roman Regular" w:hAnsi="Times New Roman Regular" w:cs="Times New Roman Regular"/>
          <w:color w:val="000000" w:themeColor="text1"/>
          <w:szCs w:val="21"/>
          <w:highlight w:val="none"/>
          <w:lang w:bidi="en-US"/>
          <w14:textFill>
            <w14:solidFill>
              <w14:schemeClr w14:val="tx1"/>
            </w14:solidFill>
          </w14:textFill>
        </w:rPr>
        <w:t>—</w:t>
      </w:r>
      <w:r>
        <w:rPr>
          <w:rFonts w:hint="eastAsia" w:ascii="Times New Roman"/>
          <w:color w:val="000000" w:themeColor="text1"/>
          <w:szCs w:val="21"/>
          <w:highlight w:val="none"/>
          <w:lang w:bidi="en-US"/>
          <w14:textFill>
            <w14:solidFill>
              <w14:schemeClr w14:val="tx1"/>
            </w14:solidFill>
          </w14:textFill>
        </w:rPr>
        <w:t>2011</w:t>
      </w:r>
      <w:r>
        <w:rPr>
          <w:rFonts w:ascii="Times New Roman"/>
          <w:color w:val="000000" w:themeColor="text1"/>
          <w:szCs w:val="21"/>
          <w:highlight w:val="none"/>
          <w:lang w:bidi="en-US"/>
          <w14:textFill>
            <w14:solidFill>
              <w14:schemeClr w14:val="tx1"/>
            </w14:solidFill>
          </w14:textFill>
        </w:rPr>
        <w:t xml:space="preserve"> 高电压试验技术  第1部分：一般定义及试验要求</w:t>
      </w:r>
    </w:p>
    <w:p>
      <w:pPr>
        <w:pStyle w:val="31"/>
        <w:spacing w:before="312" w:after="312"/>
        <w:outlineLvl w:val="0"/>
        <w:rPr>
          <w:color w:val="000000" w:themeColor="text1"/>
          <w:highlight w:val="none"/>
          <w14:textFill>
            <w14:solidFill>
              <w14:schemeClr w14:val="tx1"/>
            </w14:solidFill>
          </w14:textFill>
        </w:rPr>
      </w:pPr>
      <w:bookmarkStart w:id="56" w:name="_Toc480957371"/>
      <w:bookmarkEnd w:id="56"/>
      <w:bookmarkStart w:id="57" w:name="_Toc23243"/>
      <w:bookmarkStart w:id="58" w:name="_Toc1164023959"/>
      <w:bookmarkStart w:id="59" w:name="_Toc8137_WPSOffice_Level1"/>
      <w:bookmarkStart w:id="60" w:name="_Toc480968245"/>
      <w:bookmarkStart w:id="61" w:name="_Toc482186004"/>
      <w:bookmarkStart w:id="62" w:name="_Toc481003742"/>
      <w:bookmarkStart w:id="63" w:name="_Toc151678270"/>
      <w:bookmarkStart w:id="64" w:name="_Toc1962651353"/>
      <w:bookmarkStart w:id="65" w:name="_Toc482185893"/>
      <w:bookmarkStart w:id="66" w:name="_Toc1107808074"/>
      <w:bookmarkStart w:id="67" w:name="_Toc482185749"/>
      <w:bookmarkStart w:id="68" w:name="_Toc482632099"/>
      <w:bookmarkStart w:id="69" w:name="_Toc480967277"/>
      <w:bookmarkStart w:id="70" w:name="_Toc482185953"/>
      <w:bookmarkStart w:id="71" w:name="_Toc1652274478"/>
      <w:bookmarkStart w:id="72" w:name="_Toc990773253"/>
      <w:bookmarkStart w:id="73" w:name="_Toc482626296"/>
      <w:bookmarkStart w:id="74" w:name="_Toc480967342"/>
      <w:r>
        <w:rPr>
          <w:rFonts w:hint="eastAsia"/>
          <w:color w:val="000000" w:themeColor="text1"/>
          <w:highlight w:val="none"/>
          <w14:textFill>
            <w14:solidFill>
              <w14:schemeClr w14:val="tx1"/>
            </w14:solidFill>
          </w14:textFill>
        </w:rPr>
        <w:t>术语和定义</w:t>
      </w:r>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GB/T 3906</w:t>
      </w:r>
      <w:r>
        <w:rPr>
          <w:rFonts w:hint="eastAsia" w:ascii="Times New Roman" w:hAnsi="Times New Roman" w:cs="Times New Roman"/>
          <w:color w:val="000000" w:themeColor="text1"/>
          <w:szCs w:val="21"/>
          <w:highlight w:val="none"/>
          <w14:textFill>
            <w14:solidFill>
              <w14:schemeClr w14:val="tx1"/>
            </w14:solidFill>
          </w14:textFill>
        </w:rPr>
        <w:t>—</w:t>
      </w:r>
      <w:r>
        <w:rPr>
          <w:rFonts w:hint="eastAsia"/>
          <w:color w:val="000000" w:themeColor="text1"/>
          <w:highlight w:val="none"/>
          <w14:textFill>
            <w14:solidFill>
              <w14:schemeClr w14:val="tx1"/>
            </w14:solidFill>
          </w14:textFill>
        </w:rPr>
        <w:t>2020、GB/T 11022</w:t>
      </w:r>
      <w:r>
        <w:rPr>
          <w:rFonts w:hint="eastAsia" w:ascii="Times New Roman" w:hAnsi="Times New Roman" w:cs="Times New Roman"/>
          <w:color w:val="000000" w:themeColor="text1"/>
          <w:szCs w:val="21"/>
          <w:highlight w:val="none"/>
          <w14:textFill>
            <w14:solidFill>
              <w14:schemeClr w14:val="tx1"/>
            </w14:solidFill>
          </w14:textFill>
        </w:rPr>
        <w:t>—</w:t>
      </w:r>
      <w:r>
        <w:rPr>
          <w:rFonts w:hint="eastAsia"/>
          <w:color w:val="000000" w:themeColor="text1"/>
          <w:highlight w:val="none"/>
          <w14:textFill>
            <w14:solidFill>
              <w14:schemeClr w14:val="tx1"/>
            </w14:solidFill>
          </w14:textFill>
        </w:rPr>
        <w:t>202</w:t>
      </w:r>
      <w:r>
        <w:rPr>
          <w:color w:val="000000" w:themeColor="text1"/>
          <w:highlight w:val="none"/>
          <w14:textFill>
            <w14:solidFill>
              <w14:schemeClr w14:val="tx1"/>
            </w14:solidFill>
          </w14:textFill>
        </w:rPr>
        <w:t>0界定的术语和定义适用于本文件。</w:t>
      </w:r>
    </w:p>
    <w:p>
      <w:pPr>
        <w:pStyle w:val="31"/>
        <w:spacing w:before="312" w:after="312"/>
        <w:outlineLvl w:val="0"/>
        <w:rPr>
          <w:color w:val="000000" w:themeColor="text1"/>
          <w:highlight w:val="none"/>
          <w14:textFill>
            <w14:solidFill>
              <w14:schemeClr w14:val="tx1"/>
            </w14:solidFill>
          </w14:textFill>
        </w:rPr>
      </w:pPr>
      <w:bookmarkStart w:id="75" w:name="_Toc482185906"/>
      <w:bookmarkStart w:id="76" w:name="_Toc482626298"/>
      <w:bookmarkStart w:id="77" w:name="_Toc480968247"/>
      <w:bookmarkStart w:id="78" w:name="_Toc482185955"/>
      <w:bookmarkStart w:id="79" w:name="_Toc518670112"/>
      <w:bookmarkStart w:id="80" w:name="_Toc482186006"/>
      <w:bookmarkStart w:id="81" w:name="_Toc1867908298"/>
      <w:bookmarkStart w:id="82" w:name="_Toc482185768"/>
      <w:bookmarkStart w:id="83" w:name="_Toc174654743"/>
      <w:bookmarkStart w:id="84" w:name="_Toc193594901"/>
      <w:bookmarkStart w:id="85" w:name="_Toc1117_WPSOffice_Level1"/>
      <w:bookmarkStart w:id="86" w:name="_Toc18963"/>
      <w:bookmarkStart w:id="87" w:name="_Toc539082063"/>
      <w:bookmarkStart w:id="88" w:name="_Toc482632101"/>
      <w:bookmarkStart w:id="89" w:name="_Toc480967344"/>
      <w:bookmarkStart w:id="90" w:name="_Toc1591502345"/>
      <w:bookmarkStart w:id="91" w:name="_Toc481003744"/>
      <w:bookmarkStart w:id="92" w:name="_Toc480967290"/>
      <w:r>
        <w:rPr>
          <w:rFonts w:hint="eastAsia"/>
          <w:color w:val="000000" w:themeColor="text1"/>
          <w:highlight w:val="none"/>
          <w14:textFill>
            <w14:solidFill>
              <w14:schemeClr w14:val="tx1"/>
            </w14:solidFill>
          </w14:textFill>
        </w:rPr>
        <w:t>基本</w:t>
      </w:r>
      <w:r>
        <w:rPr>
          <w:color w:val="000000" w:themeColor="text1"/>
          <w:highlight w:val="none"/>
          <w14:textFill>
            <w14:solidFill>
              <w14:schemeClr w14:val="tx1"/>
            </w14:solidFill>
          </w14:textFill>
        </w:rPr>
        <w:t>要求</w:t>
      </w:r>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p>
    <w:p>
      <w:pPr>
        <w:pStyle w:val="34"/>
        <w:spacing w:before="156" w:after="156"/>
        <w:rPr>
          <w:color w:val="000000" w:themeColor="text1"/>
          <w:highlight w:val="none"/>
          <w14:textFill>
            <w14:solidFill>
              <w14:schemeClr w14:val="tx1"/>
            </w14:solidFill>
          </w14:textFill>
        </w:rPr>
      </w:pPr>
      <w:bookmarkStart w:id="93" w:name="_Toc482185769"/>
      <w:bookmarkStart w:id="94" w:name="_Toc480967291"/>
      <w:bookmarkStart w:id="95" w:name="_Toc482185907"/>
      <w:r>
        <w:rPr>
          <w:rFonts w:hint="eastAsia"/>
          <w:color w:val="000000" w:themeColor="text1"/>
          <w:highlight w:val="none"/>
          <w14:textFill>
            <w14:solidFill>
              <w14:schemeClr w14:val="tx1"/>
            </w14:solidFill>
          </w14:textFill>
        </w:rPr>
        <w:t>设计</w:t>
      </w:r>
      <w:bookmarkEnd w:id="93"/>
      <w:bookmarkEnd w:id="94"/>
      <w:bookmarkEnd w:id="95"/>
      <w:r>
        <w:rPr>
          <w:rFonts w:hint="eastAsia"/>
          <w:color w:val="000000" w:themeColor="text1"/>
          <w:highlight w:val="none"/>
          <w14:textFill>
            <w14:solidFill>
              <w14:schemeClr w14:val="tx1"/>
            </w14:solidFill>
          </w14:textFill>
        </w:rPr>
        <w:t>研发</w:t>
      </w:r>
    </w:p>
    <w:p>
      <w:pPr>
        <w:pStyle w:val="32"/>
        <w:rPr>
          <w:color w:val="000000" w:themeColor="text1"/>
          <w:highlight w:val="none"/>
          <w:lang w:bidi="en-US"/>
          <w14:textFill>
            <w14:solidFill>
              <w14:schemeClr w14:val="tx1"/>
            </w14:solidFill>
          </w14:textFill>
        </w:rPr>
      </w:pPr>
      <w:r>
        <w:rPr>
          <w:color w:val="000000" w:themeColor="text1"/>
          <w:highlight w:val="none"/>
          <w:lang w:bidi="en-US"/>
          <w14:textFill>
            <w14:solidFill>
              <w14:schemeClr w14:val="tx1"/>
            </w14:solidFill>
          </w14:textFill>
        </w:rPr>
        <w:t>应采用计算机软件进行设计，具备</w:t>
      </w:r>
      <w:r>
        <w:rPr>
          <w:rFonts w:hint="eastAsia"/>
          <w:color w:val="000000" w:themeColor="text1"/>
          <w:highlight w:val="none"/>
          <w:lang w:bidi="en-US"/>
          <w14:textFill>
            <w14:solidFill>
              <w14:schemeClr w14:val="tx1"/>
            </w14:solidFill>
          </w14:textFill>
        </w:rPr>
        <w:t>机械强度、</w:t>
      </w:r>
      <w:r>
        <w:rPr>
          <w:color w:val="000000" w:themeColor="text1"/>
          <w:highlight w:val="none"/>
          <w:lang w:bidi="en-US"/>
          <w14:textFill>
            <w14:solidFill>
              <w14:schemeClr w14:val="tx1"/>
            </w14:solidFill>
          </w14:textFill>
        </w:rPr>
        <w:t>机构运动</w:t>
      </w:r>
      <w:r>
        <w:rPr>
          <w:rFonts w:hint="eastAsia"/>
          <w:color w:val="000000" w:themeColor="text1"/>
          <w:highlight w:val="none"/>
          <w:lang w:bidi="en-US"/>
          <w14:textFill>
            <w14:solidFill>
              <w14:schemeClr w14:val="tx1"/>
            </w14:solidFill>
          </w14:textFill>
        </w:rPr>
        <w:t>的</w:t>
      </w:r>
      <w:r>
        <w:rPr>
          <w:color w:val="000000" w:themeColor="text1"/>
          <w:highlight w:val="none"/>
          <w:lang w:bidi="en-US"/>
          <w14:textFill>
            <w14:solidFill>
              <w14:schemeClr w14:val="tx1"/>
            </w14:solidFill>
          </w14:textFill>
        </w:rPr>
        <w:t>仿真分析能力。</w:t>
      </w:r>
    </w:p>
    <w:p>
      <w:pPr>
        <w:pStyle w:val="32"/>
        <w:rPr>
          <w:color w:val="000000" w:themeColor="text1"/>
          <w:highlight w:val="none"/>
          <w:lang w:bidi="en-US"/>
          <w14:textFill>
            <w14:solidFill>
              <w14:schemeClr w14:val="tx1"/>
            </w14:solidFill>
          </w14:textFill>
        </w:rPr>
      </w:pPr>
      <w:r>
        <w:rPr>
          <w:rFonts w:hint="eastAsia"/>
          <w:color w:val="000000" w:themeColor="text1"/>
          <w:highlight w:val="none"/>
          <w14:textFill>
            <w14:solidFill>
              <w14:schemeClr w14:val="tx1"/>
            </w14:solidFill>
          </w14:textFill>
        </w:rPr>
        <w:t>根据客户配电方案需求</w:t>
      </w:r>
      <w:r>
        <w:rPr>
          <w:color w:val="000000" w:themeColor="text1"/>
          <w:highlight w:val="none"/>
          <w14:textFill>
            <w14:solidFill>
              <w14:schemeClr w14:val="tx1"/>
            </w14:solidFill>
          </w14:textFill>
        </w:rPr>
        <w:t>，</w:t>
      </w:r>
      <w:r>
        <w:rPr>
          <w:color w:val="000000" w:themeColor="text1"/>
          <w:highlight w:val="none"/>
          <w:lang w:bidi="en-US"/>
          <w14:textFill>
            <w14:solidFill>
              <w14:schemeClr w14:val="tx1"/>
            </w14:solidFill>
          </w14:textFill>
        </w:rPr>
        <w:t>应采用模块化设计，</w:t>
      </w:r>
      <w:r>
        <w:rPr>
          <w:rFonts w:hint="eastAsia"/>
          <w:color w:val="000000" w:themeColor="text1"/>
          <w:highlight w:val="none"/>
          <w:lang w:bidi="en-US"/>
          <w14:textFill>
            <w14:solidFill>
              <w14:schemeClr w14:val="tx1"/>
            </w14:solidFill>
          </w14:textFill>
        </w:rPr>
        <w:t>达到</w:t>
      </w:r>
      <w:r>
        <w:rPr>
          <w:color w:val="000000" w:themeColor="text1"/>
          <w:highlight w:val="none"/>
          <w:lang w:bidi="en-US"/>
          <w14:textFill>
            <w14:solidFill>
              <w14:schemeClr w14:val="tx1"/>
            </w14:solidFill>
          </w14:textFill>
        </w:rPr>
        <w:t>各单元共箱</w:t>
      </w:r>
      <w:r>
        <w:rPr>
          <w:rFonts w:hint="eastAsia"/>
          <w:color w:val="000000" w:themeColor="text1"/>
          <w:highlight w:val="none"/>
          <w:lang w:bidi="en-US"/>
          <w14:textFill>
            <w14:solidFill>
              <w14:schemeClr w14:val="tx1"/>
            </w14:solidFill>
          </w14:textFill>
        </w:rPr>
        <w:t>可</w:t>
      </w:r>
      <w:r>
        <w:rPr>
          <w:color w:val="000000" w:themeColor="text1"/>
          <w:highlight w:val="none"/>
          <w:lang w:bidi="en-US"/>
          <w14:textFill>
            <w14:solidFill>
              <w14:schemeClr w14:val="tx1"/>
            </w14:solidFill>
          </w14:textFill>
        </w:rPr>
        <w:t>灵活组合</w:t>
      </w:r>
      <w:r>
        <w:rPr>
          <w:rFonts w:hint="eastAsia"/>
          <w:color w:val="000000" w:themeColor="text1"/>
          <w:highlight w:val="none"/>
          <w:lang w:bidi="en-US"/>
          <w14:textFill>
            <w14:solidFill>
              <w14:schemeClr w14:val="tx1"/>
            </w14:solidFill>
          </w14:textFill>
        </w:rPr>
        <w:t>、</w:t>
      </w:r>
      <w:r>
        <w:rPr>
          <w:color w:val="000000" w:themeColor="text1"/>
          <w:highlight w:val="none"/>
          <w:lang w:bidi="en-US"/>
          <w14:textFill>
            <w14:solidFill>
              <w14:schemeClr w14:val="tx1"/>
            </w14:solidFill>
          </w14:textFill>
        </w:rPr>
        <w:t>任意扩展，并可单独拆卸。</w:t>
      </w:r>
    </w:p>
    <w:p>
      <w:pPr>
        <w:pStyle w:val="34"/>
        <w:spacing w:before="156" w:after="156"/>
        <w:rPr>
          <w:color w:val="000000" w:themeColor="text1"/>
          <w:highlight w:val="none"/>
          <w14:textFill>
            <w14:solidFill>
              <w14:schemeClr w14:val="tx1"/>
            </w14:solidFill>
          </w14:textFill>
        </w:rPr>
      </w:pPr>
      <w:bookmarkStart w:id="96" w:name="应具备齿轮箱和手把固定座免工具更换的优化设计能力。"/>
      <w:bookmarkEnd w:id="96"/>
      <w:bookmarkStart w:id="97" w:name="应对割灌机和割草机整机进行三维工业造型设计及关键零部件的有限元静力学分析，采用相"/>
      <w:bookmarkEnd w:id="97"/>
      <w:bookmarkStart w:id="98" w:name="_Toc482185908"/>
      <w:bookmarkStart w:id="99" w:name="_Toc482185774"/>
      <w:bookmarkStart w:id="100" w:name="_Toc480967292"/>
      <w:r>
        <w:rPr>
          <w:rFonts w:hint="eastAsia"/>
          <w:color w:val="000000" w:themeColor="text1"/>
          <w:highlight w:val="none"/>
          <w14:textFill>
            <w14:solidFill>
              <w14:schemeClr w14:val="tx1"/>
            </w14:solidFill>
          </w14:textFill>
        </w:rPr>
        <w:t>原材料</w:t>
      </w:r>
      <w:bookmarkEnd w:id="98"/>
      <w:bookmarkEnd w:id="99"/>
      <w:bookmarkEnd w:id="100"/>
      <w:r>
        <w:rPr>
          <w:rFonts w:hint="eastAsia"/>
          <w:color w:val="000000" w:themeColor="text1"/>
          <w:highlight w:val="none"/>
          <w14:textFill>
            <w14:solidFill>
              <w14:schemeClr w14:val="tx1"/>
            </w14:solidFill>
          </w14:textFill>
        </w:rPr>
        <w:t>与零部件</w:t>
      </w:r>
    </w:p>
    <w:p>
      <w:pPr>
        <w:pStyle w:val="32"/>
        <w:rPr>
          <w:color w:val="000000" w:themeColor="text1"/>
          <w:highlight w:val="none"/>
          <w:lang w:bidi="en-US"/>
          <w14:textFill>
            <w14:solidFill>
              <w14:schemeClr w14:val="tx1"/>
            </w14:solidFill>
          </w14:textFill>
        </w:rPr>
      </w:pPr>
      <w:bookmarkStart w:id="101" w:name="_Toc482185777"/>
      <w:r>
        <w:rPr>
          <w:rFonts w:hint="eastAsia"/>
          <w:color w:val="000000" w:themeColor="text1"/>
          <w:highlight w:val="none"/>
          <w:lang w:bidi="en-US"/>
          <w14:textFill>
            <w14:solidFill>
              <w14:schemeClr w14:val="tx1"/>
            </w14:solidFill>
          </w14:textFill>
        </w:rPr>
        <w:t>外壳材料应采用防盐雾≧168h的不锈钢钢板，外壳外表面需进行防腐蚀喷涂处理。</w:t>
      </w:r>
    </w:p>
    <w:p>
      <w:pPr>
        <w:pStyle w:val="32"/>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气箱板材应采用厚度≧3mm的316牌号不锈钢钢板。</w:t>
      </w:r>
    </w:p>
    <w:p>
      <w:pPr>
        <w:pStyle w:val="32"/>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操作机构及传动零部件金属表面应采用镀锌镍合金处理。</w:t>
      </w:r>
    </w:p>
    <w:p>
      <w:pPr>
        <w:pStyle w:val="32"/>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绝缘材料应采用阻燃型环氧树脂浇注制成，阻燃等级符合GB/T 5169.16</w:t>
      </w:r>
      <w:r>
        <w:rPr>
          <w:rFonts w:hint="eastAsia" w:ascii="Times New Roman" w:hAnsi="Times New Roman" w:cs="Times New Roman" w:eastAsiaTheme="minorEastAsia"/>
          <w:color w:val="000000" w:themeColor="text1"/>
          <w:highlight w:val="none"/>
          <w14:textFill>
            <w14:solidFill>
              <w14:schemeClr w14:val="tx1"/>
            </w14:solidFill>
          </w14:textFill>
        </w:rPr>
        <w:t>—</w:t>
      </w:r>
      <w:r>
        <w:rPr>
          <w:rFonts w:hint="eastAsia"/>
          <w:color w:val="000000" w:themeColor="text1"/>
          <w:highlight w:val="none"/>
          <w:lang w:bidi="en-US"/>
          <w14:textFill>
            <w14:solidFill>
              <w14:schemeClr w14:val="tx1"/>
            </w14:solidFill>
          </w14:textFill>
        </w:rPr>
        <w:t>2017中V1级的要求。且单个绝缘件的局部放电量≤3pC。</w:t>
      </w:r>
    </w:p>
    <w:p>
      <w:pPr>
        <w:pStyle w:val="32"/>
        <w:rPr>
          <w:color w:val="000000" w:themeColor="text1"/>
          <w:highlight w:val="none"/>
          <w14:textFill>
            <w14:solidFill>
              <w14:schemeClr w14:val="tx1"/>
            </w14:solidFill>
          </w14:textFill>
        </w:rPr>
      </w:pPr>
      <w:r>
        <w:rPr>
          <w:rFonts w:hint="eastAsia"/>
          <w:color w:val="000000" w:themeColor="text1"/>
          <w:highlight w:val="none"/>
          <w:lang w:bidi="en-US"/>
          <w14:textFill>
            <w14:solidFill>
              <w14:schemeClr w14:val="tx1"/>
            </w14:solidFill>
          </w14:textFill>
        </w:rPr>
        <w:t>进出仪表室的二次控制电缆应采用I</w:t>
      </w:r>
      <w:r>
        <w:rPr>
          <w:rFonts w:hint="eastAsia"/>
          <w:color w:val="000000" w:themeColor="text1"/>
          <w:highlight w:val="none"/>
          <w14:textFill>
            <w14:solidFill>
              <w14:schemeClr w14:val="tx1"/>
            </w14:solidFill>
          </w14:textFill>
        </w:rPr>
        <w:t>P</w:t>
      </w:r>
      <w:r>
        <w:rPr>
          <w:color w:val="000000" w:themeColor="text1"/>
          <w:highlight w:val="none"/>
          <w14:textFill>
            <w14:solidFill>
              <w14:schemeClr w14:val="tx1"/>
            </w14:solidFill>
          </w14:textFill>
        </w:rPr>
        <w:t>54</w:t>
      </w:r>
      <w:r>
        <w:rPr>
          <w:rFonts w:hint="eastAsia"/>
          <w:color w:val="000000" w:themeColor="text1"/>
          <w:highlight w:val="none"/>
          <w14:textFill>
            <w14:solidFill>
              <w14:schemeClr w14:val="tx1"/>
            </w14:solidFill>
          </w14:textFill>
        </w:rPr>
        <w:t>等级要求的密封元件</w:t>
      </w:r>
      <w:r>
        <w:rPr>
          <w:rFonts w:hint="eastAsia"/>
          <w:color w:val="000000" w:themeColor="text1"/>
          <w:highlight w:val="none"/>
          <w:lang w:bidi="en-US"/>
          <w14:textFill>
            <w14:solidFill>
              <w14:schemeClr w14:val="tx1"/>
            </w14:solidFill>
          </w14:textFill>
        </w:rPr>
        <w:t>。</w:t>
      </w:r>
    </w:p>
    <w:p>
      <w:pPr>
        <w:pStyle w:val="32"/>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按钮及指示灯防护等级应满足IP</w:t>
      </w:r>
      <w:r>
        <w:rPr>
          <w:color w:val="000000" w:themeColor="text1"/>
          <w:highlight w:val="none"/>
          <w:lang w:bidi="en-US"/>
          <w14:textFill>
            <w14:solidFill>
              <w14:schemeClr w14:val="tx1"/>
            </w14:solidFill>
          </w14:textFill>
        </w:rPr>
        <w:t>54</w:t>
      </w:r>
      <w:r>
        <w:rPr>
          <w:rFonts w:hint="eastAsia"/>
          <w:color w:val="000000" w:themeColor="text1"/>
          <w:highlight w:val="none"/>
          <w:lang w:bidi="en-US"/>
          <w14:textFill>
            <w14:solidFill>
              <w14:schemeClr w14:val="tx1"/>
            </w14:solidFill>
          </w14:textFill>
        </w:rPr>
        <w:t>及以上要求</w:t>
      </w:r>
      <w:r>
        <w:rPr>
          <w:color w:val="000000" w:themeColor="text1"/>
          <w:highlight w:val="none"/>
          <w:lang w:bidi="en-US"/>
          <w14:textFill>
            <w14:solidFill>
              <w14:schemeClr w14:val="tx1"/>
            </w14:solidFill>
          </w14:textFill>
        </w:rPr>
        <w:t>。</w:t>
      </w:r>
      <w:bookmarkEnd w:id="101"/>
    </w:p>
    <w:p>
      <w:pPr>
        <w:pStyle w:val="34"/>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工艺装备</w:t>
      </w:r>
    </w:p>
    <w:p>
      <w:pPr>
        <w:pStyle w:val="32"/>
        <w:rPr>
          <w:color w:val="000000" w:themeColor="text1"/>
          <w:highlight w:val="none"/>
          <w:lang w:bidi="en-US"/>
          <w14:textFill>
            <w14:solidFill>
              <w14:schemeClr w14:val="tx1"/>
            </w14:solidFill>
          </w14:textFill>
        </w:rPr>
      </w:pPr>
      <w:r>
        <w:rPr>
          <w:color w:val="000000" w:themeColor="text1"/>
          <w:highlight w:val="none"/>
          <w:lang w:bidi="en-US"/>
          <w14:textFill>
            <w14:solidFill>
              <w14:schemeClr w14:val="tx1"/>
            </w14:solidFill>
          </w14:textFill>
        </w:rPr>
        <w:t>海上风电用高压开关柜焊接</w:t>
      </w:r>
      <w:r>
        <w:rPr>
          <w:rFonts w:hint="eastAsia"/>
          <w:color w:val="000000" w:themeColor="text1"/>
          <w:highlight w:val="none"/>
          <w:lang w:bidi="en-US"/>
          <w14:textFill>
            <w14:solidFill>
              <w14:schemeClr w14:val="tx1"/>
            </w14:solidFill>
          </w14:textFill>
        </w:rPr>
        <w:t>宜</w:t>
      </w:r>
      <w:r>
        <w:rPr>
          <w:color w:val="000000" w:themeColor="text1"/>
          <w:highlight w:val="none"/>
          <w:lang w:bidi="en-US"/>
          <w14:textFill>
            <w14:solidFill>
              <w14:schemeClr w14:val="tx1"/>
            </w14:solidFill>
          </w14:textFill>
        </w:rPr>
        <w:t>采用全自动机械手焊接设备。</w:t>
      </w:r>
    </w:p>
    <w:p>
      <w:pPr>
        <w:pStyle w:val="32"/>
        <w:rPr>
          <w:color w:val="000000" w:themeColor="text1"/>
          <w:highlight w:val="none"/>
          <w:lang w:bidi="en-US"/>
          <w14:textFill>
            <w14:solidFill>
              <w14:schemeClr w14:val="tx1"/>
            </w14:solidFill>
          </w14:textFill>
        </w:rPr>
      </w:pPr>
      <w:r>
        <w:rPr>
          <w:color w:val="000000" w:themeColor="text1"/>
          <w:highlight w:val="none"/>
          <w:lang w:bidi="en-US"/>
          <w14:textFill>
            <w14:solidFill>
              <w14:schemeClr w14:val="tx1"/>
            </w14:solidFill>
          </w14:textFill>
        </w:rPr>
        <w:t>海上风电用高压开关柜的螺钉焊接应采用储能式螺柱焊机。</w:t>
      </w:r>
    </w:p>
    <w:p>
      <w:pPr>
        <w:pStyle w:val="32"/>
        <w:rPr>
          <w:color w:val="000000" w:themeColor="text1"/>
          <w:highlight w:val="none"/>
          <w:lang w:bidi="en-US"/>
          <w14:textFill>
            <w14:solidFill>
              <w14:schemeClr w14:val="tx1"/>
            </w14:solidFill>
          </w14:textFill>
        </w:rPr>
      </w:pPr>
      <w:r>
        <w:rPr>
          <w:color w:val="000000" w:themeColor="text1"/>
          <w:highlight w:val="none"/>
          <w:lang w:bidi="en-US"/>
          <w14:textFill>
            <w14:solidFill>
              <w14:schemeClr w14:val="tx1"/>
            </w14:solidFill>
          </w14:textFill>
        </w:rPr>
        <w:t>海上风电用高压开关柜的充放气应采用等压抽真空充气设备。</w:t>
      </w:r>
    </w:p>
    <w:p>
      <w:pPr>
        <w:pStyle w:val="32"/>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应具有</w:t>
      </w:r>
      <w:r>
        <w:rPr>
          <w:color w:val="000000" w:themeColor="text1"/>
          <w:highlight w:val="none"/>
          <w:lang w:bidi="en-US"/>
          <w14:textFill>
            <w14:solidFill>
              <w14:schemeClr w14:val="tx1"/>
            </w14:solidFill>
          </w14:textFill>
        </w:rPr>
        <w:t>恒温恒湿</w:t>
      </w:r>
      <w:r>
        <w:rPr>
          <w:rFonts w:hint="eastAsia"/>
          <w:color w:val="000000" w:themeColor="text1"/>
          <w:highlight w:val="none"/>
          <w:lang w:bidi="en-US"/>
          <w14:textFill>
            <w14:solidFill>
              <w14:schemeClr w14:val="tx1"/>
            </w14:solidFill>
          </w14:textFill>
        </w:rPr>
        <w:t>的气室装配车间。</w:t>
      </w:r>
    </w:p>
    <w:p>
      <w:pPr>
        <w:pStyle w:val="34"/>
        <w:tabs>
          <w:tab w:val="center" w:pos="4201"/>
          <w:tab w:val="right" w:leader="dot" w:pos="9298"/>
        </w:tabs>
        <w:spacing w:before="156" w:after="156"/>
        <w:rPr>
          <w:color w:val="000000" w:themeColor="text1"/>
          <w:highlight w:val="none"/>
          <w:lang w:bidi="en-US"/>
          <w14:textFill>
            <w14:solidFill>
              <w14:schemeClr w14:val="tx1"/>
            </w14:solidFill>
          </w14:textFill>
        </w:rPr>
      </w:pPr>
      <w:r>
        <w:rPr>
          <w:rFonts w:hint="eastAsia"/>
          <w:color w:val="000000" w:themeColor="text1"/>
          <w:highlight w:val="none"/>
          <w14:textFill>
            <w14:solidFill>
              <w14:schemeClr w14:val="tx1"/>
            </w14:solidFill>
          </w14:textFill>
        </w:rPr>
        <w:t>检验检测</w:t>
      </w:r>
    </w:p>
    <w:p>
      <w:pPr>
        <w:pStyle w:val="32"/>
        <w:rPr>
          <w:color w:val="000000" w:themeColor="text1"/>
          <w:highlight w:val="none"/>
          <w:lang w:bidi="en-US"/>
          <w14:textFill>
            <w14:solidFill>
              <w14:schemeClr w14:val="tx1"/>
            </w14:solidFill>
          </w14:textFill>
        </w:rPr>
      </w:pPr>
      <w:r>
        <w:rPr>
          <w:color w:val="000000" w:themeColor="text1"/>
          <w:highlight w:val="none"/>
          <w:lang w:bidi="en-US"/>
          <w14:textFill>
            <w14:solidFill>
              <w14:schemeClr w14:val="tx1"/>
            </w14:solidFill>
          </w14:textFill>
        </w:rPr>
        <w:t>应具备</w:t>
      </w:r>
      <w:r>
        <w:rPr>
          <w:rFonts w:hint="eastAsia"/>
          <w:color w:val="000000" w:themeColor="text1"/>
          <w:highlight w:val="none"/>
          <w:lang w:bidi="en-US"/>
          <w14:textFill>
            <w14:solidFill>
              <w14:schemeClr w14:val="tx1"/>
            </w14:solidFill>
          </w14:textFill>
        </w:rPr>
        <w:t>气体</w:t>
      </w:r>
      <w:r>
        <w:rPr>
          <w:color w:val="000000" w:themeColor="text1"/>
          <w:highlight w:val="none"/>
          <w:lang w:bidi="en-US"/>
          <w14:textFill>
            <w14:solidFill>
              <w14:schemeClr w14:val="tx1"/>
            </w14:solidFill>
          </w14:textFill>
        </w:rPr>
        <w:t>微水含量、绝缘水平、回路电阻、局部放电量、温升、机械特性、气箱密封性等测试能力。</w:t>
      </w:r>
    </w:p>
    <w:p>
      <w:pPr>
        <w:pStyle w:val="32"/>
        <w:rPr>
          <w:color w:val="000000" w:themeColor="text1"/>
          <w:highlight w:val="none"/>
          <w:lang w:bidi="en-US"/>
          <w14:textFill>
            <w14:solidFill>
              <w14:schemeClr w14:val="tx1"/>
            </w14:solidFill>
          </w14:textFill>
        </w:rPr>
      </w:pPr>
      <w:r>
        <w:rPr>
          <w:color w:val="000000" w:themeColor="text1"/>
          <w:highlight w:val="none"/>
          <w:lang w:bidi="en-US"/>
          <w14:textFill>
            <w14:solidFill>
              <w14:schemeClr w14:val="tx1"/>
            </w14:solidFill>
          </w14:textFill>
        </w:rPr>
        <w:t>应具备微水检测设备、工频高压试验装置、雷电冲击试验</w:t>
      </w:r>
      <w:r>
        <w:rPr>
          <w:rFonts w:hint="eastAsia"/>
          <w:color w:val="000000" w:themeColor="text1"/>
          <w:highlight w:val="none"/>
          <w:lang w:bidi="en-US"/>
          <w14:textFill>
            <w14:solidFill>
              <w14:schemeClr w14:val="tx1"/>
            </w14:solidFill>
          </w14:textFill>
        </w:rPr>
        <w:t>装置</w:t>
      </w:r>
      <w:r>
        <w:rPr>
          <w:color w:val="000000" w:themeColor="text1"/>
          <w:highlight w:val="none"/>
          <w:lang w:bidi="en-US"/>
          <w14:textFill>
            <w14:solidFill>
              <w14:schemeClr w14:val="tx1"/>
            </w14:solidFill>
          </w14:textFill>
        </w:rPr>
        <w:t>、直流电阻测量仪、局部放电成套试验装置、屏蔽房、大电流发生器（温升）测试装置、弹簧测试仪、开关机械特性测量仪、真空箱氦检漏设备等检测设备。</w:t>
      </w:r>
    </w:p>
    <w:p>
      <w:pPr>
        <w:pStyle w:val="31"/>
        <w:spacing w:before="312" w:after="312"/>
        <w:outlineLvl w:val="0"/>
        <w:rPr>
          <w:color w:val="000000" w:themeColor="text1"/>
          <w:highlight w:val="none"/>
          <w14:textFill>
            <w14:solidFill>
              <w14:schemeClr w14:val="tx1"/>
            </w14:solidFill>
          </w14:textFill>
        </w:rPr>
      </w:pPr>
      <w:bookmarkStart w:id="102" w:name="_Toc311775902"/>
      <w:bookmarkStart w:id="103" w:name="_Toc1959603799"/>
      <w:bookmarkStart w:id="104" w:name="_Toc480968248"/>
      <w:bookmarkStart w:id="105" w:name="_Toc482632102"/>
      <w:bookmarkStart w:id="106" w:name="_Toc1471089030"/>
      <w:bookmarkStart w:id="107" w:name="_Toc482186007"/>
      <w:bookmarkStart w:id="108" w:name="_Toc480967296"/>
      <w:bookmarkStart w:id="109" w:name="_Toc118726148"/>
      <w:bookmarkStart w:id="110" w:name="_Toc481003745"/>
      <w:bookmarkStart w:id="111" w:name="_Toc480967345"/>
      <w:bookmarkStart w:id="112" w:name="_Toc482626299"/>
      <w:bookmarkStart w:id="113" w:name="_Toc482185912"/>
      <w:bookmarkStart w:id="114" w:name="_Toc26728_WPSOffice_Level1"/>
      <w:bookmarkStart w:id="115" w:name="_Toc652449211"/>
      <w:bookmarkStart w:id="116" w:name="_Toc17647"/>
      <w:bookmarkStart w:id="117" w:name="_Toc482185789"/>
      <w:bookmarkStart w:id="118" w:name="_Toc482185956"/>
      <w:bookmarkStart w:id="119" w:name="_Toc2018812640"/>
      <w:r>
        <w:rPr>
          <w:color w:val="000000" w:themeColor="text1"/>
          <w:highlight w:val="none"/>
          <w14:textFill>
            <w14:solidFill>
              <w14:schemeClr w14:val="tx1"/>
            </w14:solidFill>
          </w14:textFill>
        </w:rPr>
        <w:t>环境条件</w:t>
      </w:r>
      <w:bookmarkEnd w:id="102"/>
      <w:bookmarkEnd w:id="103"/>
    </w:p>
    <w:p>
      <w:pPr>
        <w:pStyle w:val="34"/>
        <w:tabs>
          <w:tab w:val="center" w:pos="4201"/>
          <w:tab w:val="right" w:leader="dot" w:pos="9298"/>
        </w:tabs>
        <w:spacing w:before="156" w:after="156"/>
        <w:rPr>
          <w:color w:val="000000" w:themeColor="text1"/>
          <w:highlight w:val="none"/>
          <w14:textFill>
            <w14:solidFill>
              <w14:schemeClr w14:val="tx1"/>
            </w14:solidFill>
          </w14:textFill>
        </w:rPr>
      </w:pPr>
      <w:r>
        <w:rPr>
          <w:color w:val="000000" w:themeColor="text1"/>
          <w:highlight w:val="none"/>
          <w:lang w:bidi="en-US"/>
          <w14:textFill>
            <w14:solidFill>
              <w14:schemeClr w14:val="tx1"/>
            </w14:solidFill>
          </w14:textFill>
        </w:rPr>
        <w:t>概述</w:t>
      </w:r>
    </w:p>
    <w:p>
      <w:pPr>
        <w:pStyle w:val="26"/>
        <w:rPr>
          <w:color w:val="000000" w:themeColor="text1"/>
          <w:highlight w:val="none"/>
          <w:lang w:bidi="en-US"/>
          <w14:textFill>
            <w14:solidFill>
              <w14:schemeClr w14:val="tx1"/>
            </w14:solidFill>
          </w14:textFill>
        </w:rPr>
      </w:pPr>
      <w:r>
        <w:rPr>
          <w:color w:val="000000" w:themeColor="text1"/>
          <w:highlight w:val="none"/>
          <w:lang w:bidi="en-US"/>
          <w14:textFill>
            <w14:solidFill>
              <w14:schemeClr w14:val="tx1"/>
            </w14:solidFill>
          </w14:textFill>
        </w:rPr>
        <w:t>海上风电用高压开关柜的正常使用条件</w:t>
      </w:r>
      <w:r>
        <w:rPr>
          <w:rFonts w:hint="eastAsia"/>
          <w:color w:val="000000" w:themeColor="text1"/>
          <w:highlight w:val="none"/>
          <w:lang w:bidi="en-US"/>
          <w14:textFill>
            <w14:solidFill>
              <w14:schemeClr w14:val="tx1"/>
            </w14:solidFill>
          </w14:textFill>
        </w:rPr>
        <w:t>应符合G</w:t>
      </w:r>
      <w:r>
        <w:rPr>
          <w:color w:val="000000" w:themeColor="text1"/>
          <w:highlight w:val="none"/>
          <w:lang w:bidi="en-US"/>
          <w14:textFill>
            <w14:solidFill>
              <w14:schemeClr w14:val="tx1"/>
            </w14:solidFill>
          </w14:textFill>
        </w:rPr>
        <w:t>B/T 11022-2020</w:t>
      </w:r>
      <w:r>
        <w:rPr>
          <w:rFonts w:hint="eastAsia"/>
          <w:color w:val="000000" w:themeColor="text1"/>
          <w:highlight w:val="none"/>
          <w:lang w:bidi="en-US"/>
          <w14:textFill>
            <w14:solidFill>
              <w14:schemeClr w14:val="tx1"/>
            </w14:solidFill>
          </w14:textFill>
        </w:rPr>
        <w:t>中4</w:t>
      </w:r>
      <w:r>
        <w:rPr>
          <w:color w:val="000000" w:themeColor="text1"/>
          <w:highlight w:val="none"/>
          <w:lang w:bidi="en-US"/>
          <w14:textFill>
            <w14:solidFill>
              <w14:schemeClr w14:val="tx1"/>
            </w14:solidFill>
          </w14:textFill>
        </w:rPr>
        <w:t>.1.2</w:t>
      </w:r>
      <w:r>
        <w:rPr>
          <w:rFonts w:hint="eastAsia"/>
          <w:color w:val="000000" w:themeColor="text1"/>
          <w:highlight w:val="none"/>
          <w:lang w:bidi="en-US"/>
          <w14:textFill>
            <w14:solidFill>
              <w14:schemeClr w14:val="tx1"/>
            </w14:solidFill>
          </w14:textFill>
        </w:rPr>
        <w:t>的规定，除此之外还应符合:</w:t>
      </w:r>
    </w:p>
    <w:p>
      <w:pPr>
        <w:pStyle w:val="32"/>
        <w:numPr>
          <w:ilvl w:val="0"/>
          <w:numId w:val="5"/>
        </w:numPr>
        <w:ind w:left="0" w:firstLine="420" w:firstLineChars="200"/>
        <w:jc w:val="both"/>
        <w:outlineLvl w:val="9"/>
        <w:rPr>
          <w:color w:val="000000" w:themeColor="text1"/>
          <w:highlight w:val="none"/>
          <w:lang w:bidi="en-US"/>
          <w14:textFill>
            <w14:solidFill>
              <w14:schemeClr w14:val="tx1"/>
            </w14:solidFill>
          </w14:textFill>
        </w:rPr>
      </w:pPr>
      <w:r>
        <w:rPr>
          <w:color w:val="000000" w:themeColor="text1"/>
          <w:highlight w:val="none"/>
          <w:lang w:bidi="en-US"/>
          <w14:textFill>
            <w14:solidFill>
              <w14:schemeClr w14:val="tx1"/>
            </w14:solidFill>
          </w14:textFill>
        </w:rPr>
        <w:t>工作环境</w:t>
      </w:r>
      <w:r>
        <w:rPr>
          <w:rFonts w:hint="eastAsia"/>
          <w:color w:val="000000" w:themeColor="text1"/>
          <w:highlight w:val="none"/>
          <w:lang w:bidi="en-US"/>
          <w14:textFill>
            <w14:solidFill>
              <w14:schemeClr w14:val="tx1"/>
            </w14:solidFill>
          </w14:textFill>
        </w:rPr>
        <w:t>温度</w:t>
      </w:r>
      <w:r>
        <w:rPr>
          <w:color w:val="000000" w:themeColor="text1"/>
          <w:highlight w:val="none"/>
          <w:lang w:bidi="en-US"/>
          <w14:textFill>
            <w14:solidFill>
              <w14:schemeClr w14:val="tx1"/>
            </w14:solidFill>
          </w14:textFill>
        </w:rPr>
        <w:t>：</w:t>
      </w:r>
      <w:r>
        <w:rPr>
          <w:rFonts w:hint="eastAsia"/>
          <w:color w:val="000000" w:themeColor="text1"/>
          <w:highlight w:val="none"/>
          <w:lang w:bidi="en-US"/>
          <w14:textFill>
            <w14:solidFill>
              <w14:schemeClr w14:val="tx1"/>
            </w14:solidFill>
          </w14:textFill>
        </w:rPr>
        <w:t>-</w:t>
      </w:r>
      <w:r>
        <w:rPr>
          <w:color w:val="000000" w:themeColor="text1"/>
          <w:highlight w:val="none"/>
          <w:lang w:bidi="en-US"/>
          <w14:textFill>
            <w14:solidFill>
              <w14:schemeClr w14:val="tx1"/>
            </w14:solidFill>
          </w14:textFill>
        </w:rPr>
        <w:t>45</w:t>
      </w:r>
      <w:r>
        <w:rPr>
          <w:rFonts w:hint="eastAsia" w:hAnsi="宋体" w:cs="宋体"/>
          <w:color w:val="000000" w:themeColor="text1"/>
          <w:highlight w:val="none"/>
          <w:lang w:bidi="en-US"/>
          <w14:textFill>
            <w14:solidFill>
              <w14:schemeClr w14:val="tx1"/>
            </w14:solidFill>
          </w14:textFill>
        </w:rPr>
        <w:t>℃</w:t>
      </w:r>
      <w:r>
        <w:rPr>
          <w:rFonts w:ascii="Arial" w:hAnsi="Arial" w:cs="Arial"/>
          <w:color w:val="000000" w:themeColor="text1"/>
          <w:highlight w:val="none"/>
          <w:lang w:bidi="en-US"/>
          <w14:textFill>
            <w14:solidFill>
              <w14:schemeClr w14:val="tx1"/>
            </w14:solidFill>
          </w14:textFill>
        </w:rPr>
        <w:t>~</w:t>
      </w:r>
      <w:r>
        <w:rPr>
          <w:rFonts w:hint="eastAsia"/>
          <w:color w:val="000000" w:themeColor="text1"/>
          <w:highlight w:val="none"/>
          <w:lang w:bidi="en-US"/>
          <w14:textFill>
            <w14:solidFill>
              <w14:schemeClr w14:val="tx1"/>
            </w14:solidFill>
          </w14:textFill>
        </w:rPr>
        <w:t>40</w:t>
      </w:r>
      <w:r>
        <w:rPr>
          <w:rFonts w:hint="eastAsia" w:hAnsi="宋体" w:cs="宋体"/>
          <w:color w:val="000000" w:themeColor="text1"/>
          <w:highlight w:val="none"/>
          <w:lang w:bidi="en-US"/>
          <w14:textFill>
            <w14:solidFill>
              <w14:schemeClr w14:val="tx1"/>
            </w14:solidFill>
          </w14:textFill>
        </w:rPr>
        <w:t>℃</w:t>
      </w:r>
      <w:r>
        <w:rPr>
          <w:color w:val="000000" w:themeColor="text1"/>
          <w:highlight w:val="none"/>
          <w:lang w:bidi="en-US"/>
          <w14:textFill>
            <w14:solidFill>
              <w14:schemeClr w14:val="tx1"/>
            </w14:solidFill>
          </w14:textFill>
        </w:rPr>
        <w:t>；</w:t>
      </w:r>
    </w:p>
    <w:p>
      <w:pPr>
        <w:pStyle w:val="32"/>
        <w:numPr>
          <w:ilvl w:val="0"/>
          <w:numId w:val="5"/>
        </w:numPr>
        <w:ind w:left="0" w:firstLine="420" w:firstLineChars="200"/>
        <w:jc w:val="both"/>
        <w:outlineLvl w:val="9"/>
        <w:rPr>
          <w:color w:val="000000" w:themeColor="text1"/>
          <w:highlight w:val="none"/>
          <w:lang w:bidi="en-US"/>
          <w14:textFill>
            <w14:solidFill>
              <w14:schemeClr w14:val="tx1"/>
            </w14:solidFill>
          </w14:textFill>
        </w:rPr>
      </w:pPr>
      <w:r>
        <w:rPr>
          <w:color w:val="000000" w:themeColor="text1"/>
          <w:highlight w:val="none"/>
          <w:lang w:bidi="en-US"/>
          <w14:textFill>
            <w14:solidFill>
              <w14:schemeClr w14:val="tx1"/>
            </w14:solidFill>
          </w14:textFill>
        </w:rPr>
        <w:t>平均湿度：</w:t>
      </w:r>
      <w:r>
        <w:rPr>
          <w:rFonts w:hint="eastAsia" w:hAnsi="宋体" w:cs="宋体"/>
          <w:color w:val="000000" w:themeColor="text1"/>
          <w:highlight w:val="none"/>
          <w:lang w:bidi="en-US"/>
          <w14:textFill>
            <w14:solidFill>
              <w14:schemeClr w14:val="tx1"/>
            </w14:solidFill>
          </w14:textFill>
        </w:rPr>
        <w:t>≤</w:t>
      </w:r>
      <w:r>
        <w:rPr>
          <w:color w:val="000000" w:themeColor="text1"/>
          <w:highlight w:val="none"/>
          <w:lang w:bidi="en-US"/>
          <w14:textFill>
            <w14:solidFill>
              <w14:schemeClr w14:val="tx1"/>
            </w14:solidFill>
          </w14:textFill>
        </w:rPr>
        <w:t>90%；</w:t>
      </w:r>
    </w:p>
    <w:p>
      <w:pPr>
        <w:pStyle w:val="32"/>
        <w:numPr>
          <w:ilvl w:val="0"/>
          <w:numId w:val="5"/>
        </w:numPr>
        <w:ind w:left="0" w:firstLine="420" w:firstLineChars="200"/>
        <w:jc w:val="both"/>
        <w:outlineLvl w:val="9"/>
        <w:rPr>
          <w:color w:val="000000" w:themeColor="text1"/>
          <w:highlight w:val="none"/>
          <w:lang w:bidi="en-US"/>
          <w14:textFill>
            <w14:solidFill>
              <w14:schemeClr w14:val="tx1"/>
            </w14:solidFill>
          </w14:textFill>
        </w:rPr>
      </w:pPr>
      <w:r>
        <w:rPr>
          <w:color w:val="000000" w:themeColor="text1"/>
          <w:highlight w:val="none"/>
          <w:lang w:bidi="en-US"/>
          <w14:textFill>
            <w14:solidFill>
              <w14:schemeClr w14:val="tx1"/>
            </w14:solidFill>
          </w14:textFill>
        </w:rPr>
        <w:t>最大湿度：100%；</w:t>
      </w:r>
    </w:p>
    <w:p>
      <w:pPr>
        <w:pStyle w:val="32"/>
        <w:numPr>
          <w:ilvl w:val="0"/>
          <w:numId w:val="5"/>
        </w:numPr>
        <w:ind w:left="0" w:firstLine="420" w:firstLineChars="200"/>
        <w:jc w:val="both"/>
        <w:outlineLvl w:val="9"/>
        <w:rPr>
          <w:color w:val="000000" w:themeColor="text1"/>
          <w:highlight w:val="none"/>
          <w:lang w:bidi="en-US"/>
          <w14:textFill>
            <w14:solidFill>
              <w14:schemeClr w14:val="tx1"/>
            </w14:solidFill>
          </w14:textFill>
        </w:rPr>
      </w:pPr>
      <w:r>
        <w:rPr>
          <w:color w:val="000000" w:themeColor="text1"/>
          <w:highlight w:val="none"/>
          <w:lang w:bidi="en-US"/>
          <w14:textFill>
            <w14:solidFill>
              <w14:schemeClr w14:val="tx1"/>
            </w14:solidFill>
          </w14:textFill>
        </w:rPr>
        <w:t>特殊使用条件：盐雾、霉菌、湿热、</w:t>
      </w:r>
      <w:r>
        <w:rPr>
          <w:rFonts w:hint="eastAsia"/>
          <w:color w:val="000000" w:themeColor="text1"/>
          <w:highlight w:val="none"/>
          <w:lang w:bidi="en-US"/>
          <w14:textFill>
            <w14:solidFill>
              <w14:schemeClr w14:val="tx1"/>
            </w14:solidFill>
          </w14:textFill>
        </w:rPr>
        <w:t>摇摆、</w:t>
      </w:r>
      <w:r>
        <w:rPr>
          <w:color w:val="000000" w:themeColor="text1"/>
          <w:highlight w:val="none"/>
          <w:lang w:bidi="en-US"/>
          <w14:textFill>
            <w14:solidFill>
              <w14:schemeClr w14:val="tx1"/>
            </w14:solidFill>
          </w14:textFill>
        </w:rPr>
        <w:t>振动；</w:t>
      </w:r>
    </w:p>
    <w:p>
      <w:pPr>
        <w:pStyle w:val="32"/>
        <w:numPr>
          <w:ilvl w:val="0"/>
          <w:numId w:val="5"/>
        </w:numPr>
        <w:ind w:left="0" w:firstLine="420" w:firstLineChars="200"/>
        <w:jc w:val="both"/>
        <w:outlineLvl w:val="9"/>
        <w:rPr>
          <w:color w:val="000000" w:themeColor="text1"/>
          <w:highlight w:val="none"/>
          <w:lang w:bidi="en-US"/>
          <w14:textFill>
            <w14:solidFill>
              <w14:schemeClr w14:val="tx1"/>
            </w14:solidFill>
          </w14:textFill>
        </w:rPr>
      </w:pPr>
      <w:r>
        <w:rPr>
          <w:color w:val="000000" w:themeColor="text1"/>
          <w:highlight w:val="none"/>
          <w:lang w:bidi="en-US"/>
          <w14:textFill>
            <w14:solidFill>
              <w14:schemeClr w14:val="tx1"/>
            </w14:solidFill>
          </w14:textFill>
        </w:rPr>
        <w:t>户内使用。</w:t>
      </w:r>
    </w:p>
    <w:p>
      <w:pPr>
        <w:pStyle w:val="34"/>
        <w:tabs>
          <w:tab w:val="center" w:pos="4201"/>
          <w:tab w:val="right" w:leader="dot" w:pos="9298"/>
        </w:tabs>
        <w:spacing w:before="156" w:after="156"/>
        <w:rPr>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highlight w:val="none"/>
          <w:lang w:bidi="en-US"/>
          <w14:textFill>
            <w14:solidFill>
              <w14:schemeClr w14:val="tx1"/>
            </w14:solidFill>
          </w14:textFill>
        </w:rPr>
        <w:t>超出上述使用环境条件的要求，由用户和</w:t>
      </w:r>
      <w:r>
        <w:rPr>
          <w:rFonts w:asciiTheme="minorEastAsia" w:hAnsiTheme="minorEastAsia" w:eastAsiaTheme="minorEastAsia" w:cstheme="minorEastAsia"/>
          <w:color w:val="000000" w:themeColor="text1"/>
          <w:highlight w:val="none"/>
          <w:lang w:bidi="en-US"/>
          <w14:textFill>
            <w14:solidFill>
              <w14:schemeClr w14:val="tx1"/>
            </w14:solidFill>
          </w14:textFill>
        </w:rPr>
        <w:t>制造商</w:t>
      </w:r>
      <w:r>
        <w:rPr>
          <w:rFonts w:hint="eastAsia" w:asciiTheme="minorEastAsia" w:hAnsiTheme="minorEastAsia" w:eastAsiaTheme="minorEastAsia" w:cstheme="minorEastAsia"/>
          <w:color w:val="000000" w:themeColor="text1"/>
          <w:highlight w:val="none"/>
          <w:lang w:bidi="en-US"/>
          <w14:textFill>
            <w14:solidFill>
              <w14:schemeClr w14:val="tx1"/>
            </w14:solidFill>
          </w14:textFill>
        </w:rPr>
        <w:t>协定。</w:t>
      </w:r>
    </w:p>
    <w:p>
      <w:pPr>
        <w:pStyle w:val="31"/>
        <w:spacing w:before="312" w:after="312"/>
        <w:outlineLvl w:val="0"/>
        <w:rPr>
          <w:color w:val="000000" w:themeColor="text1"/>
          <w:highlight w:val="none"/>
          <w14:textFill>
            <w14:solidFill>
              <w14:schemeClr w14:val="tx1"/>
            </w14:solidFill>
          </w14:textFill>
        </w:rPr>
      </w:pPr>
      <w:bookmarkStart w:id="120" w:name="_Toc157486234"/>
      <w:bookmarkStart w:id="121" w:name="_Toc1251839401"/>
      <w:r>
        <w:rPr>
          <w:rFonts w:hint="eastAsia"/>
          <w:color w:val="000000" w:themeColor="text1"/>
          <w:highlight w:val="none"/>
          <w14:textFill>
            <w14:solidFill>
              <w14:schemeClr w14:val="tx1"/>
            </w14:solidFill>
          </w14:textFill>
        </w:rPr>
        <w:t>技术要求</w:t>
      </w:r>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p>
    <w:p>
      <w:pPr>
        <w:pStyle w:val="34"/>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额定值</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概述</w:t>
      </w:r>
    </w:p>
    <w:p>
      <w:pPr>
        <w:ind w:firstLine="420" w:firstLineChars="200"/>
        <w:rPr>
          <w:color w:val="000000" w:themeColor="text1"/>
          <w:highlight w:val="none"/>
          <w:lang w:bidi="en-US"/>
          <w14:textFill>
            <w14:solidFill>
              <w14:schemeClr w14:val="tx1"/>
            </w14:solidFill>
          </w14:textFill>
        </w:rPr>
      </w:pPr>
      <w:r>
        <w:rPr>
          <w:rFonts w:ascii="Times New Roman" w:hAnsi="Times New Roman" w:eastAsia="宋体" w:cs="Times New Roman"/>
          <w:color w:val="000000" w:themeColor="text1"/>
          <w:szCs w:val="21"/>
          <w:highlight w:val="none"/>
          <w14:textFill>
            <w14:solidFill>
              <w14:schemeClr w14:val="tx1"/>
            </w14:solidFill>
          </w14:textFill>
        </w:rPr>
        <w:t>海上风电用高压开关柜的额定值</w:t>
      </w:r>
      <w:r>
        <w:rPr>
          <w:rFonts w:hint="eastAsia" w:ascii="Times New Roman" w:hAnsi="Times New Roman" w:eastAsia="宋体" w:cs="Times New Roman"/>
          <w:color w:val="000000" w:themeColor="text1"/>
          <w:szCs w:val="21"/>
          <w:highlight w:val="none"/>
          <w14:textFill>
            <w14:solidFill>
              <w14:schemeClr w14:val="tx1"/>
            </w14:solidFill>
          </w14:textFill>
        </w:rPr>
        <w:t>应包括</w:t>
      </w:r>
      <w:r>
        <w:rPr>
          <w:rFonts w:ascii="Times New Roman" w:hAnsi="Times New Roman" w:eastAsia="宋体" w:cs="Times New Roman"/>
          <w:color w:val="000000" w:themeColor="text1"/>
          <w:szCs w:val="21"/>
          <w:highlight w:val="none"/>
          <w14:textFill>
            <w14:solidFill>
              <w14:schemeClr w14:val="tx1"/>
            </w14:solidFill>
          </w14:textFill>
        </w:rPr>
        <w:t>：</w:t>
      </w:r>
    </w:p>
    <w:p>
      <w:pPr>
        <w:pStyle w:val="32"/>
        <w:numPr>
          <w:ilvl w:val="0"/>
          <w:numId w:val="6"/>
        </w:numPr>
        <w:ind w:left="0" w:firstLine="420" w:firstLineChars="200"/>
        <w:jc w:val="both"/>
        <w:outlineLvl w:val="9"/>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额定电压</w:t>
      </w:r>
      <w:r>
        <w:rPr>
          <w:color w:val="000000" w:themeColor="text1"/>
          <w:highlight w:val="none"/>
          <w:lang w:bidi="en-US"/>
          <w14:textFill>
            <w14:solidFill>
              <w14:schemeClr w14:val="tx1"/>
            </w14:solidFill>
          </w14:textFill>
        </w:rPr>
        <w:t>（U</w:t>
      </w:r>
      <w:r>
        <w:rPr>
          <w:color w:val="000000" w:themeColor="text1"/>
          <w:highlight w:val="none"/>
          <w:vertAlign w:val="subscript"/>
          <w:lang w:bidi="en-US"/>
          <w14:textFill>
            <w14:solidFill>
              <w14:schemeClr w14:val="tx1"/>
            </w14:solidFill>
          </w14:textFill>
        </w:rPr>
        <w:t>r</w:t>
      </w:r>
      <w:r>
        <w:rPr>
          <w:color w:val="000000" w:themeColor="text1"/>
          <w:highlight w:val="none"/>
          <w:lang w:bidi="en-US"/>
          <w14:textFill>
            <w14:solidFill>
              <w14:schemeClr w14:val="tx1"/>
            </w14:solidFill>
          </w14:textFill>
        </w:rPr>
        <w:t>）</w:t>
      </w:r>
      <w:r>
        <w:rPr>
          <w:rFonts w:hint="eastAsia"/>
          <w:color w:val="000000" w:themeColor="text1"/>
          <w:highlight w:val="none"/>
          <w:lang w:bidi="en-US"/>
          <w14:textFill>
            <w14:solidFill>
              <w14:schemeClr w14:val="tx1"/>
            </w14:solidFill>
          </w14:textFill>
        </w:rPr>
        <w:t>和相数；</w:t>
      </w:r>
    </w:p>
    <w:p>
      <w:pPr>
        <w:pStyle w:val="32"/>
        <w:numPr>
          <w:ilvl w:val="0"/>
          <w:numId w:val="6"/>
        </w:numPr>
        <w:ind w:left="0" w:firstLine="420" w:firstLineChars="200"/>
        <w:jc w:val="both"/>
        <w:outlineLvl w:val="9"/>
        <w:rPr>
          <w:color w:val="000000" w:themeColor="text1"/>
          <w:highlight w:val="none"/>
          <w:lang w:bidi="en-US"/>
          <w14:textFill>
            <w14:solidFill>
              <w14:schemeClr w14:val="tx1"/>
            </w14:solidFill>
          </w14:textFill>
        </w:rPr>
      </w:pPr>
      <w:r>
        <w:rPr>
          <w:color w:val="000000" w:themeColor="text1"/>
          <w:highlight w:val="none"/>
          <w:lang w:bidi="en-US"/>
          <w14:textFill>
            <w14:solidFill>
              <w14:schemeClr w14:val="tx1"/>
            </w14:solidFill>
          </w14:textFill>
        </w:rPr>
        <w:t>额定绝缘水平；</w:t>
      </w:r>
    </w:p>
    <w:p>
      <w:pPr>
        <w:pStyle w:val="32"/>
        <w:numPr>
          <w:ilvl w:val="0"/>
          <w:numId w:val="6"/>
        </w:numPr>
        <w:ind w:left="0" w:firstLine="420" w:firstLineChars="200"/>
        <w:jc w:val="both"/>
        <w:outlineLvl w:val="9"/>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额定频率</w:t>
      </w:r>
      <w:r>
        <w:rPr>
          <w:color w:val="000000" w:themeColor="text1"/>
          <w:highlight w:val="none"/>
          <w:lang w:bidi="en-US"/>
          <w14:textFill>
            <w14:solidFill>
              <w14:schemeClr w14:val="tx1"/>
            </w14:solidFill>
          </w14:textFill>
        </w:rPr>
        <w:t>（</w:t>
      </w:r>
      <w:r>
        <w:rPr>
          <w:rFonts w:hint="eastAsia"/>
          <w:color w:val="000000" w:themeColor="text1"/>
          <w:highlight w:val="none"/>
          <w:lang w:bidi="en-US"/>
          <w14:textFill>
            <w14:solidFill>
              <w14:schemeClr w14:val="tx1"/>
            </w14:solidFill>
          </w14:textFill>
        </w:rPr>
        <w:t>f</w:t>
      </w:r>
      <w:r>
        <w:rPr>
          <w:color w:val="000000" w:themeColor="text1"/>
          <w:highlight w:val="none"/>
          <w:vertAlign w:val="subscript"/>
          <w:lang w:bidi="en-US"/>
          <w14:textFill>
            <w14:solidFill>
              <w14:schemeClr w14:val="tx1"/>
            </w14:solidFill>
          </w14:textFill>
        </w:rPr>
        <w:t>r</w:t>
      </w:r>
      <w:r>
        <w:rPr>
          <w:color w:val="000000" w:themeColor="text1"/>
          <w:highlight w:val="none"/>
          <w:lang w:bidi="en-US"/>
          <w14:textFill>
            <w14:solidFill>
              <w14:schemeClr w14:val="tx1"/>
            </w14:solidFill>
          </w14:textFill>
        </w:rPr>
        <w:t>）</w:t>
      </w:r>
      <w:r>
        <w:rPr>
          <w:rFonts w:hint="eastAsia"/>
          <w:color w:val="000000" w:themeColor="text1"/>
          <w:highlight w:val="none"/>
          <w:lang w:bidi="en-US"/>
          <w14:textFill>
            <w14:solidFill>
              <w14:schemeClr w14:val="tx1"/>
            </w14:solidFill>
          </w14:textFill>
        </w:rPr>
        <w:t>；</w:t>
      </w:r>
    </w:p>
    <w:p>
      <w:pPr>
        <w:pStyle w:val="32"/>
        <w:numPr>
          <w:ilvl w:val="0"/>
          <w:numId w:val="6"/>
        </w:numPr>
        <w:ind w:left="0" w:firstLine="420" w:firstLineChars="200"/>
        <w:jc w:val="both"/>
        <w:outlineLvl w:val="9"/>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额定电流</w:t>
      </w:r>
      <w:r>
        <w:rPr>
          <w:color w:val="000000" w:themeColor="text1"/>
          <w:highlight w:val="none"/>
          <w:lang w:bidi="en-US"/>
          <w14:textFill>
            <w14:solidFill>
              <w14:schemeClr w14:val="tx1"/>
            </w14:solidFill>
          </w14:textFill>
        </w:rPr>
        <w:t>（I</w:t>
      </w:r>
      <w:r>
        <w:rPr>
          <w:color w:val="000000" w:themeColor="text1"/>
          <w:highlight w:val="none"/>
          <w:vertAlign w:val="subscript"/>
          <w:lang w:bidi="en-US"/>
          <w14:textFill>
            <w14:solidFill>
              <w14:schemeClr w14:val="tx1"/>
            </w14:solidFill>
          </w14:textFill>
        </w:rPr>
        <w:t>r</w:t>
      </w:r>
      <w:r>
        <w:rPr>
          <w:color w:val="000000" w:themeColor="text1"/>
          <w:highlight w:val="none"/>
          <w:lang w:bidi="en-US"/>
          <w14:textFill>
            <w14:solidFill>
              <w14:schemeClr w14:val="tx1"/>
            </w14:solidFill>
          </w14:textFill>
        </w:rPr>
        <w:t>）</w:t>
      </w:r>
      <w:r>
        <w:rPr>
          <w:rFonts w:hint="eastAsia"/>
          <w:color w:val="000000" w:themeColor="text1"/>
          <w:highlight w:val="none"/>
          <w:lang w:bidi="en-US"/>
          <w14:textFill>
            <w14:solidFill>
              <w14:schemeClr w14:val="tx1"/>
            </w14:solidFill>
          </w14:textFill>
        </w:rPr>
        <w:t>；</w:t>
      </w:r>
    </w:p>
    <w:p>
      <w:pPr>
        <w:pStyle w:val="32"/>
        <w:numPr>
          <w:ilvl w:val="0"/>
          <w:numId w:val="6"/>
        </w:numPr>
        <w:ind w:left="0" w:firstLine="420" w:firstLineChars="200"/>
        <w:jc w:val="both"/>
        <w:outlineLvl w:val="9"/>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额定短时耐受电流</w:t>
      </w:r>
      <w:r>
        <w:rPr>
          <w:color w:val="000000" w:themeColor="text1"/>
          <w:highlight w:val="none"/>
          <w:lang w:bidi="en-US"/>
          <w14:textFill>
            <w14:solidFill>
              <w14:schemeClr w14:val="tx1"/>
            </w14:solidFill>
          </w14:textFill>
        </w:rPr>
        <w:t>（I</w:t>
      </w:r>
      <w:r>
        <w:rPr>
          <w:color w:val="000000" w:themeColor="text1"/>
          <w:highlight w:val="none"/>
          <w:vertAlign w:val="subscript"/>
          <w:lang w:bidi="en-US"/>
          <w14:textFill>
            <w14:solidFill>
              <w14:schemeClr w14:val="tx1"/>
            </w14:solidFill>
          </w14:textFill>
        </w:rPr>
        <w:t>k</w:t>
      </w:r>
      <w:r>
        <w:rPr>
          <w:color w:val="000000" w:themeColor="text1"/>
          <w:highlight w:val="none"/>
          <w:lang w:bidi="en-US"/>
          <w14:textFill>
            <w14:solidFill>
              <w14:schemeClr w14:val="tx1"/>
            </w14:solidFill>
          </w14:textFill>
        </w:rPr>
        <w:t>）</w:t>
      </w:r>
      <w:r>
        <w:rPr>
          <w:rFonts w:hint="eastAsia"/>
          <w:color w:val="000000" w:themeColor="text1"/>
          <w:highlight w:val="none"/>
          <w:lang w:bidi="en-US"/>
          <w14:textFill>
            <w14:solidFill>
              <w14:schemeClr w14:val="tx1"/>
            </w14:solidFill>
          </w14:textFill>
        </w:rPr>
        <w:t xml:space="preserve">； </w:t>
      </w:r>
    </w:p>
    <w:p>
      <w:pPr>
        <w:pStyle w:val="32"/>
        <w:numPr>
          <w:ilvl w:val="0"/>
          <w:numId w:val="6"/>
        </w:numPr>
        <w:ind w:left="0" w:firstLine="420" w:firstLineChars="200"/>
        <w:jc w:val="both"/>
        <w:outlineLvl w:val="9"/>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额定峰值耐受电流</w:t>
      </w:r>
      <w:r>
        <w:rPr>
          <w:color w:val="000000" w:themeColor="text1"/>
          <w:highlight w:val="none"/>
          <w:lang w:bidi="en-US"/>
          <w14:textFill>
            <w14:solidFill>
              <w14:schemeClr w14:val="tx1"/>
            </w14:solidFill>
          </w14:textFill>
        </w:rPr>
        <w:t>（I</w:t>
      </w:r>
      <w:r>
        <w:rPr>
          <w:color w:val="000000" w:themeColor="text1"/>
          <w:highlight w:val="none"/>
          <w:vertAlign w:val="subscript"/>
          <w:lang w:bidi="en-US"/>
          <w14:textFill>
            <w14:solidFill>
              <w14:schemeClr w14:val="tx1"/>
            </w14:solidFill>
          </w14:textFill>
        </w:rPr>
        <w:t>p</w:t>
      </w:r>
      <w:r>
        <w:rPr>
          <w:color w:val="000000" w:themeColor="text1"/>
          <w:highlight w:val="none"/>
          <w:lang w:bidi="en-US"/>
          <w14:textFill>
            <w14:solidFill>
              <w14:schemeClr w14:val="tx1"/>
            </w14:solidFill>
          </w14:textFill>
        </w:rPr>
        <w:t>）</w:t>
      </w:r>
      <w:r>
        <w:rPr>
          <w:rFonts w:hint="eastAsia"/>
          <w:color w:val="000000" w:themeColor="text1"/>
          <w:highlight w:val="none"/>
          <w:lang w:bidi="en-US"/>
          <w14:textFill>
            <w14:solidFill>
              <w14:schemeClr w14:val="tx1"/>
            </w14:solidFill>
          </w14:textFill>
        </w:rPr>
        <w:t>；</w:t>
      </w:r>
    </w:p>
    <w:p>
      <w:pPr>
        <w:pStyle w:val="32"/>
        <w:numPr>
          <w:ilvl w:val="0"/>
          <w:numId w:val="6"/>
        </w:numPr>
        <w:ind w:left="0" w:firstLine="420" w:firstLineChars="200"/>
        <w:jc w:val="both"/>
        <w:outlineLvl w:val="9"/>
        <w:rPr>
          <w:color w:val="000000" w:themeColor="text1"/>
          <w:highlight w:val="none"/>
          <w:lang w:bidi="en-US"/>
          <w14:textFill>
            <w14:solidFill>
              <w14:schemeClr w14:val="tx1"/>
            </w14:solidFill>
          </w14:textFill>
        </w:rPr>
      </w:pPr>
      <w:r>
        <w:rPr>
          <w:color w:val="000000" w:themeColor="text1"/>
          <w:highlight w:val="none"/>
          <w:lang w:bidi="en-US"/>
          <w14:textFill>
            <w14:solidFill>
              <w14:schemeClr w14:val="tx1"/>
            </w14:solidFill>
          </w14:textFill>
        </w:rPr>
        <w:t>额定短</w:t>
      </w:r>
      <w:r>
        <w:rPr>
          <w:rFonts w:hint="eastAsia"/>
          <w:color w:val="000000" w:themeColor="text1"/>
          <w:highlight w:val="none"/>
          <w:lang w:bidi="en-US"/>
          <w14:textFill>
            <w14:solidFill>
              <w14:schemeClr w14:val="tx1"/>
            </w14:solidFill>
          </w14:textFill>
        </w:rPr>
        <w:t>路持续</w:t>
      </w:r>
      <w:r>
        <w:rPr>
          <w:color w:val="000000" w:themeColor="text1"/>
          <w:highlight w:val="none"/>
          <w:lang w:bidi="en-US"/>
          <w14:textFill>
            <w14:solidFill>
              <w14:schemeClr w14:val="tx1"/>
            </w14:solidFill>
          </w14:textFill>
        </w:rPr>
        <w:t>时间（t</w:t>
      </w:r>
      <w:r>
        <w:rPr>
          <w:color w:val="000000" w:themeColor="text1"/>
          <w:highlight w:val="none"/>
          <w:vertAlign w:val="subscript"/>
          <w:lang w:bidi="en-US"/>
          <w14:textFill>
            <w14:solidFill>
              <w14:schemeClr w14:val="tx1"/>
            </w14:solidFill>
          </w14:textFill>
        </w:rPr>
        <w:t>k</w:t>
      </w:r>
      <w:r>
        <w:rPr>
          <w:color w:val="000000" w:themeColor="text1"/>
          <w:highlight w:val="none"/>
          <w:lang w:bidi="en-US"/>
          <w14:textFill>
            <w14:solidFill>
              <w14:schemeClr w14:val="tx1"/>
            </w14:solidFill>
          </w14:textFill>
        </w:rPr>
        <w:t>）；</w:t>
      </w:r>
    </w:p>
    <w:p>
      <w:pPr>
        <w:pStyle w:val="32"/>
        <w:numPr>
          <w:ilvl w:val="0"/>
          <w:numId w:val="6"/>
        </w:numPr>
        <w:ind w:left="0" w:firstLine="420" w:firstLineChars="200"/>
        <w:jc w:val="both"/>
        <w:outlineLvl w:val="9"/>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金属封闭开关设备和控制设备中各元件（包括它们的操动装置和辅助设备）的额定值；</w:t>
      </w:r>
    </w:p>
    <w:p>
      <w:pPr>
        <w:pStyle w:val="32"/>
        <w:numPr>
          <w:ilvl w:val="0"/>
          <w:numId w:val="6"/>
        </w:numPr>
        <w:ind w:left="0" w:firstLine="420" w:firstLineChars="200"/>
        <w:jc w:val="both"/>
        <w:outlineLvl w:val="9"/>
        <w:rPr>
          <w:color w:val="000000" w:themeColor="text1"/>
          <w:szCs w:val="22"/>
          <w:highlight w:val="none"/>
          <w14:textFill>
            <w14:solidFill>
              <w14:schemeClr w14:val="tx1"/>
            </w14:solidFill>
          </w14:textFill>
        </w:rPr>
      </w:pPr>
      <w:r>
        <w:rPr>
          <w:color w:val="000000" w:themeColor="text1"/>
          <w:szCs w:val="22"/>
          <w:highlight w:val="none"/>
          <w14:textFill>
            <w14:solidFill>
              <w14:schemeClr w14:val="tx1"/>
            </w14:solidFill>
          </w14:textFill>
        </w:rPr>
        <w:t>绝缘</w:t>
      </w:r>
      <w:r>
        <w:rPr>
          <w:rFonts w:hint="eastAsia"/>
          <w:color w:val="000000" w:themeColor="text1"/>
          <w:szCs w:val="22"/>
          <w:highlight w:val="none"/>
          <w14:textFill>
            <w14:solidFill>
              <w14:schemeClr w14:val="tx1"/>
            </w14:solidFill>
          </w14:textFill>
        </w:rPr>
        <w:t>和/或开合</w:t>
      </w:r>
      <w:r>
        <w:rPr>
          <w:color w:val="000000" w:themeColor="text1"/>
          <w:szCs w:val="22"/>
          <w:highlight w:val="none"/>
          <w14:textFill>
            <w14:solidFill>
              <w14:schemeClr w14:val="tx1"/>
            </w14:solidFill>
          </w14:textFill>
        </w:rPr>
        <w:t>用的额定充入压力／水平（20℃时表压）；</w:t>
      </w:r>
    </w:p>
    <w:p>
      <w:pPr>
        <w:pStyle w:val="32"/>
        <w:numPr>
          <w:ilvl w:val="0"/>
          <w:numId w:val="6"/>
        </w:numPr>
        <w:ind w:left="0" w:firstLine="420" w:firstLineChars="200"/>
        <w:jc w:val="both"/>
        <w:outlineLvl w:val="9"/>
        <w:rPr>
          <w:color w:val="000000" w:themeColor="text1"/>
          <w:szCs w:val="22"/>
          <w:highlight w:val="none"/>
          <w14:textFill>
            <w14:solidFill>
              <w14:schemeClr w14:val="tx1"/>
            </w14:solidFill>
          </w14:textFill>
        </w:rPr>
      </w:pPr>
      <w:r>
        <w:rPr>
          <w:rFonts w:hint="eastAsia"/>
          <w:color w:val="000000" w:themeColor="text1"/>
          <w:szCs w:val="22"/>
          <w:highlight w:val="none"/>
          <w14:textFill>
            <w14:solidFill>
              <w14:schemeClr w14:val="tx1"/>
            </w14:solidFill>
          </w14:textFill>
        </w:rPr>
        <w:t>绝缘用的额定充入最低功能压力/水平（20℃时表压）</w:t>
      </w:r>
      <w:r>
        <w:rPr>
          <w:color w:val="000000" w:themeColor="text1"/>
          <w:szCs w:val="22"/>
          <w:highlight w:val="none"/>
          <w14:textFill>
            <w14:solidFill>
              <w14:schemeClr w14:val="tx1"/>
            </w14:solidFill>
          </w14:textFill>
        </w:rPr>
        <w:t>；</w:t>
      </w:r>
    </w:p>
    <w:p>
      <w:pPr>
        <w:pStyle w:val="32"/>
        <w:numPr>
          <w:ilvl w:val="0"/>
          <w:numId w:val="6"/>
        </w:numPr>
        <w:ind w:left="0" w:firstLine="420" w:firstLineChars="200"/>
        <w:jc w:val="both"/>
        <w:outlineLvl w:val="9"/>
        <w:rPr>
          <w:color w:val="000000" w:themeColor="text1"/>
          <w:szCs w:val="22"/>
          <w:highlight w:val="none"/>
          <w14:textFill>
            <w14:solidFill>
              <w14:schemeClr w14:val="tx1"/>
            </w14:solidFill>
          </w14:textFill>
        </w:rPr>
      </w:pPr>
      <w:r>
        <w:rPr>
          <w:rFonts w:hint="eastAsia"/>
          <w:color w:val="000000" w:themeColor="text1"/>
          <w:szCs w:val="22"/>
          <w:highlight w:val="none"/>
          <w14:textFill>
            <w14:solidFill>
              <w14:schemeClr w14:val="tx1"/>
            </w14:solidFill>
          </w14:textFill>
        </w:rPr>
        <w:t>内部电弧级（IAC）的额定值；</w:t>
      </w:r>
    </w:p>
    <w:p>
      <w:pPr>
        <w:pStyle w:val="32"/>
        <w:numPr>
          <w:ilvl w:val="0"/>
          <w:numId w:val="6"/>
        </w:numPr>
        <w:ind w:left="0" w:firstLine="420" w:firstLineChars="200"/>
        <w:jc w:val="both"/>
        <w:outlineLvl w:val="9"/>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额定短路</w:t>
      </w:r>
      <w:r>
        <w:rPr>
          <w:color w:val="000000" w:themeColor="text1"/>
          <w:highlight w:val="none"/>
          <w:lang w:bidi="en-US"/>
          <w14:textFill>
            <w14:solidFill>
              <w14:schemeClr w14:val="tx1"/>
            </w14:solidFill>
          </w14:textFill>
        </w:rPr>
        <w:t>开断电流（t</w:t>
      </w:r>
      <w:r>
        <w:rPr>
          <w:color w:val="000000" w:themeColor="text1"/>
          <w:highlight w:val="none"/>
          <w:vertAlign w:val="subscript"/>
          <w:lang w:bidi="en-US"/>
          <w14:textFill>
            <w14:solidFill>
              <w14:schemeClr w14:val="tx1"/>
            </w14:solidFill>
          </w14:textFill>
        </w:rPr>
        <w:t>k</w:t>
      </w:r>
      <w:r>
        <w:rPr>
          <w:color w:val="000000" w:themeColor="text1"/>
          <w:highlight w:val="none"/>
          <w:lang w:bidi="en-US"/>
          <w14:textFill>
            <w14:solidFill>
              <w14:schemeClr w14:val="tx1"/>
            </w14:solidFill>
          </w14:textFill>
        </w:rPr>
        <w:t>）；</w:t>
      </w:r>
    </w:p>
    <w:p>
      <w:pPr>
        <w:pStyle w:val="32"/>
        <w:numPr>
          <w:ilvl w:val="0"/>
          <w:numId w:val="6"/>
        </w:numPr>
        <w:ind w:left="0" w:firstLine="420" w:firstLineChars="200"/>
        <w:jc w:val="both"/>
        <w:outlineLvl w:val="9"/>
        <w:rPr>
          <w:color w:val="000000" w:themeColor="text1"/>
          <w:szCs w:val="20"/>
          <w:highlight w:val="none"/>
          <w:lang w:bidi="en-US"/>
          <w14:textFill>
            <w14:solidFill>
              <w14:schemeClr w14:val="tx1"/>
            </w14:solidFill>
          </w14:textFill>
        </w:rPr>
      </w:pPr>
      <w:r>
        <w:rPr>
          <w:rFonts w:hint="eastAsia"/>
          <w:color w:val="000000" w:themeColor="text1"/>
          <w:szCs w:val="22"/>
          <w:highlight w:val="none"/>
          <w14:textFill>
            <w14:solidFill>
              <w14:schemeClr w14:val="tx1"/>
            </w14:solidFill>
          </w14:textFill>
        </w:rPr>
        <w:t>绝缘气体年漏气率。</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额定电压（U</w:t>
      </w:r>
      <w:r>
        <w:rPr>
          <w:color w:val="000000" w:themeColor="text1"/>
          <w:highlight w:val="none"/>
          <w:vertAlign w:val="subscript"/>
          <w14:textFill>
            <w14:solidFill>
              <w14:schemeClr w14:val="tx1"/>
            </w14:solidFill>
          </w14:textFill>
        </w:rPr>
        <w:t>r</w:t>
      </w:r>
      <w:r>
        <w:rPr>
          <w:color w:val="000000" w:themeColor="text1"/>
          <w:highlight w:val="none"/>
          <w14:textFill>
            <w14:solidFill>
              <w14:schemeClr w14:val="tx1"/>
            </w14:solidFill>
          </w14:textFill>
        </w:rPr>
        <w:t>）</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海上风电用高压开关柜</w:t>
      </w:r>
      <w:r>
        <w:rPr>
          <w:color w:val="000000" w:themeColor="text1"/>
          <w:highlight w:val="none"/>
          <w14:textFill>
            <w14:solidFill>
              <w14:schemeClr w14:val="tx1"/>
            </w14:solidFill>
          </w14:textFill>
        </w:rPr>
        <w:t>的额定电压</w:t>
      </w:r>
      <w:r>
        <w:rPr>
          <w:rFonts w:hint="eastAsia"/>
          <w:color w:val="000000" w:themeColor="text1"/>
          <w:highlight w:val="none"/>
          <w14:textFill>
            <w14:solidFill>
              <w14:schemeClr w14:val="tx1"/>
            </w14:solidFill>
          </w14:textFill>
        </w:rPr>
        <w:t>为40.5kV。</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额定绝缘水平</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海上风电用高压开关柜</w:t>
      </w:r>
      <w:r>
        <w:rPr>
          <w:color w:val="000000" w:themeColor="text1"/>
          <w:highlight w:val="none"/>
          <w14:textFill>
            <w14:solidFill>
              <w14:schemeClr w14:val="tx1"/>
            </w14:solidFill>
          </w14:textFill>
        </w:rPr>
        <w:t>额定绝缘水平应</w:t>
      </w:r>
      <w:r>
        <w:rPr>
          <w:rFonts w:hint="eastAsia"/>
          <w:color w:val="000000" w:themeColor="text1"/>
          <w:highlight w:val="none"/>
          <w14:textFill>
            <w14:solidFill>
              <w14:schemeClr w14:val="tx1"/>
            </w14:solidFill>
          </w14:textFill>
        </w:rPr>
        <w:t>符合</w:t>
      </w:r>
      <w:r>
        <w:rPr>
          <w:color w:val="000000" w:themeColor="text1"/>
          <w:highlight w:val="none"/>
          <w14:textFill>
            <w14:solidFill>
              <w14:schemeClr w14:val="tx1"/>
            </w14:solidFill>
          </w14:textFill>
        </w:rPr>
        <w:t>表1的规定。</w:t>
      </w:r>
    </w:p>
    <w:p>
      <w:pPr>
        <w:pStyle w:val="35"/>
        <w:spacing w:before="156" w:after="156"/>
        <w:jc w:val="both"/>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额定绝缘水平</w:t>
      </w:r>
    </w:p>
    <w:tbl>
      <w:tblPr>
        <w:tblStyle w:val="14"/>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2392"/>
        <w:gridCol w:w="2393"/>
        <w:gridCol w:w="2393"/>
        <w:gridCol w:w="239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c>
          <w:tcPr>
            <w:tcW w:w="4785" w:type="dxa"/>
            <w:gridSpan w:val="2"/>
            <w:tcBorders>
              <w:top w:val="single" w:color="auto" w:sz="8" w:space="0"/>
              <w:bottom w:val="single" w:color="auto" w:sz="8" w:space="0"/>
            </w:tcBorders>
            <w:vAlign w:val="center"/>
          </w:tcPr>
          <w:p>
            <w:pPr>
              <w:pStyle w:val="26"/>
              <w:widowControl w:val="0"/>
              <w:ind w:firstLine="360"/>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hint="eastAsia" w:asciiTheme="minorEastAsia" w:hAnsiTheme="minorEastAsia" w:cstheme="minorEastAsia"/>
                <w:color w:val="000000" w:themeColor="text1"/>
                <w:sz w:val="18"/>
                <w:szCs w:val="18"/>
                <w:highlight w:val="none"/>
                <w14:textFill>
                  <w14:solidFill>
                    <w14:schemeClr w14:val="tx1"/>
                  </w14:solidFill>
                </w14:textFill>
              </w:rPr>
              <w:t>1min工频耐受电压</w:t>
            </w:r>
          </w:p>
          <w:p>
            <w:pPr>
              <w:pStyle w:val="26"/>
              <w:widowControl w:val="0"/>
              <w:ind w:firstLine="360"/>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asciiTheme="minorEastAsia" w:hAnsiTheme="minorEastAsia" w:cstheme="minorEastAsia"/>
                <w:color w:val="000000" w:themeColor="text1"/>
                <w:sz w:val="18"/>
                <w:szCs w:val="18"/>
                <w:highlight w:val="none"/>
                <w14:textFill>
                  <w14:solidFill>
                    <w14:schemeClr w14:val="tx1"/>
                  </w14:solidFill>
                </w14:textFill>
              </w:rPr>
              <w:t>kV</w:t>
            </w:r>
          </w:p>
        </w:tc>
        <w:tc>
          <w:tcPr>
            <w:tcW w:w="4786" w:type="dxa"/>
            <w:gridSpan w:val="2"/>
            <w:tcBorders>
              <w:top w:val="single" w:color="auto" w:sz="8" w:space="0"/>
              <w:bottom w:val="single" w:color="auto" w:sz="8" w:space="0"/>
            </w:tcBorders>
            <w:vAlign w:val="center"/>
          </w:tcPr>
          <w:p>
            <w:pPr>
              <w:pStyle w:val="26"/>
              <w:widowControl w:val="0"/>
              <w:ind w:firstLine="360"/>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hint="eastAsia" w:asciiTheme="minorEastAsia" w:hAnsiTheme="minorEastAsia" w:cstheme="minorEastAsia"/>
                <w:color w:val="000000" w:themeColor="text1"/>
                <w:sz w:val="18"/>
                <w:szCs w:val="18"/>
                <w:highlight w:val="none"/>
                <w14:textFill>
                  <w14:solidFill>
                    <w14:schemeClr w14:val="tx1"/>
                  </w14:solidFill>
                </w14:textFill>
              </w:rPr>
              <w:t>雷电冲击耐受电压（峰值</w:t>
            </w:r>
            <w:r>
              <w:rPr>
                <w:rFonts w:asciiTheme="minorEastAsia" w:hAnsiTheme="minorEastAsia" w:cstheme="minorEastAsia"/>
                <w:color w:val="000000" w:themeColor="text1"/>
                <w:sz w:val="18"/>
                <w:szCs w:val="18"/>
                <w:highlight w:val="none"/>
                <w14:textFill>
                  <w14:solidFill>
                    <w14:schemeClr w14:val="tx1"/>
                  </w14:solidFill>
                </w14:textFill>
              </w:rPr>
              <w:t>）</w:t>
            </w:r>
          </w:p>
          <w:p>
            <w:pPr>
              <w:pStyle w:val="26"/>
              <w:widowControl w:val="0"/>
              <w:ind w:firstLine="360"/>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asciiTheme="minorEastAsia" w:hAnsiTheme="minorEastAsia" w:cstheme="minorEastAsia"/>
                <w:color w:val="000000" w:themeColor="text1"/>
                <w:sz w:val="18"/>
                <w:szCs w:val="18"/>
                <w:highlight w:val="none"/>
                <w14:textFill>
                  <w14:solidFill>
                    <w14:schemeClr w14:val="tx1"/>
                  </w14:solidFill>
                </w14:textFill>
              </w:rPr>
              <w:t>kV</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c>
          <w:tcPr>
            <w:tcW w:w="2392" w:type="dxa"/>
            <w:tcBorders>
              <w:top w:val="single" w:color="auto" w:sz="8" w:space="0"/>
            </w:tcBorders>
            <w:vAlign w:val="center"/>
          </w:tcPr>
          <w:p>
            <w:pPr>
              <w:pStyle w:val="26"/>
              <w:widowControl w:val="0"/>
              <w:ind w:firstLine="360"/>
              <w:jc w:val="center"/>
              <w:rPr>
                <w:color w:val="000000" w:themeColor="text1"/>
                <w:highlight w:val="none"/>
                <w14:textFill>
                  <w14:solidFill>
                    <w14:schemeClr w14:val="tx1"/>
                  </w14:solidFill>
                </w14:textFill>
              </w:rPr>
            </w:pPr>
            <w:r>
              <w:rPr>
                <w:rFonts w:hint="eastAsia" w:asciiTheme="minorEastAsia" w:hAnsiTheme="minorEastAsia" w:cstheme="minorEastAsia"/>
                <w:color w:val="000000" w:themeColor="text1"/>
                <w:sz w:val="18"/>
                <w:szCs w:val="18"/>
                <w:highlight w:val="none"/>
                <w14:textFill>
                  <w14:solidFill>
                    <w14:schemeClr w14:val="tx1"/>
                  </w14:solidFill>
                </w14:textFill>
              </w:rPr>
              <w:t>对地、相间</w:t>
            </w:r>
          </w:p>
        </w:tc>
        <w:tc>
          <w:tcPr>
            <w:tcW w:w="2393" w:type="dxa"/>
            <w:tcBorders>
              <w:top w:val="single" w:color="auto" w:sz="8" w:space="0"/>
            </w:tcBorders>
            <w:vAlign w:val="center"/>
          </w:tcPr>
          <w:p>
            <w:pPr>
              <w:pStyle w:val="26"/>
              <w:widowControl w:val="0"/>
              <w:ind w:firstLine="360"/>
              <w:jc w:val="center"/>
              <w:rPr>
                <w:color w:val="000000" w:themeColor="text1"/>
                <w:highlight w:val="none"/>
                <w14:textFill>
                  <w14:solidFill>
                    <w14:schemeClr w14:val="tx1"/>
                  </w14:solidFill>
                </w14:textFill>
              </w:rPr>
            </w:pPr>
            <w:r>
              <w:rPr>
                <w:rFonts w:hint="eastAsia" w:asciiTheme="minorEastAsia" w:hAnsiTheme="minorEastAsia" w:cstheme="minorEastAsia"/>
                <w:color w:val="000000" w:themeColor="text1"/>
                <w:sz w:val="18"/>
                <w:szCs w:val="18"/>
                <w:highlight w:val="none"/>
                <w14:textFill>
                  <w14:solidFill>
                    <w14:schemeClr w14:val="tx1"/>
                  </w14:solidFill>
                </w14:textFill>
              </w:rPr>
              <w:t>隔离断口</w:t>
            </w:r>
          </w:p>
        </w:tc>
        <w:tc>
          <w:tcPr>
            <w:tcW w:w="2393" w:type="dxa"/>
            <w:tcBorders>
              <w:top w:val="single" w:color="auto" w:sz="8" w:space="0"/>
            </w:tcBorders>
            <w:vAlign w:val="center"/>
          </w:tcPr>
          <w:p>
            <w:pPr>
              <w:pStyle w:val="26"/>
              <w:widowControl w:val="0"/>
              <w:ind w:firstLine="360"/>
              <w:jc w:val="center"/>
              <w:rPr>
                <w:color w:val="000000" w:themeColor="text1"/>
                <w:highlight w:val="none"/>
                <w14:textFill>
                  <w14:solidFill>
                    <w14:schemeClr w14:val="tx1"/>
                  </w14:solidFill>
                </w14:textFill>
              </w:rPr>
            </w:pPr>
            <w:r>
              <w:rPr>
                <w:rFonts w:hint="eastAsia" w:asciiTheme="minorEastAsia" w:hAnsiTheme="minorEastAsia" w:cstheme="minorEastAsia"/>
                <w:color w:val="000000" w:themeColor="text1"/>
                <w:sz w:val="18"/>
                <w:szCs w:val="18"/>
                <w:highlight w:val="none"/>
                <w14:textFill>
                  <w14:solidFill>
                    <w14:schemeClr w14:val="tx1"/>
                  </w14:solidFill>
                </w14:textFill>
              </w:rPr>
              <w:t>对地、相间</w:t>
            </w:r>
          </w:p>
        </w:tc>
        <w:tc>
          <w:tcPr>
            <w:tcW w:w="2393" w:type="dxa"/>
            <w:tcBorders>
              <w:top w:val="single" w:color="auto" w:sz="8" w:space="0"/>
            </w:tcBorders>
            <w:vAlign w:val="center"/>
          </w:tcPr>
          <w:p>
            <w:pPr>
              <w:pStyle w:val="26"/>
              <w:widowControl w:val="0"/>
              <w:ind w:firstLine="360"/>
              <w:jc w:val="center"/>
              <w:rPr>
                <w:color w:val="000000" w:themeColor="text1"/>
                <w:highlight w:val="none"/>
                <w14:textFill>
                  <w14:solidFill>
                    <w14:schemeClr w14:val="tx1"/>
                  </w14:solidFill>
                </w14:textFill>
              </w:rPr>
            </w:pPr>
            <w:r>
              <w:rPr>
                <w:rFonts w:hint="eastAsia" w:asciiTheme="minorEastAsia" w:hAnsiTheme="minorEastAsia" w:cstheme="minorEastAsia"/>
                <w:color w:val="000000" w:themeColor="text1"/>
                <w:sz w:val="18"/>
                <w:szCs w:val="18"/>
                <w:highlight w:val="none"/>
                <w14:textFill>
                  <w14:solidFill>
                    <w14:schemeClr w14:val="tx1"/>
                  </w14:solidFill>
                </w14:textFill>
              </w:rPr>
              <w:t>隔离断口</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c>
          <w:tcPr>
            <w:tcW w:w="2392" w:type="dxa"/>
            <w:vAlign w:val="center"/>
          </w:tcPr>
          <w:p>
            <w:pPr>
              <w:pStyle w:val="26"/>
              <w:widowControl w:val="0"/>
              <w:ind w:firstLine="360"/>
              <w:jc w:val="center"/>
              <w:rPr>
                <w:color w:val="000000" w:themeColor="text1"/>
                <w:highlight w:val="none"/>
                <w14:textFill>
                  <w14:solidFill>
                    <w14:schemeClr w14:val="tx1"/>
                  </w14:solidFill>
                </w14:textFill>
              </w:rPr>
            </w:pPr>
            <w:r>
              <w:rPr>
                <w:rFonts w:hint="eastAsia" w:asciiTheme="minorEastAsia" w:hAnsiTheme="minorEastAsia" w:cstheme="minorEastAsia"/>
                <w:color w:val="000000" w:themeColor="text1"/>
                <w:kern w:val="2"/>
                <w:sz w:val="18"/>
                <w:szCs w:val="18"/>
                <w:highlight w:val="none"/>
                <w14:textFill>
                  <w14:solidFill>
                    <w14:schemeClr w14:val="tx1"/>
                  </w14:solidFill>
                </w14:textFill>
              </w:rPr>
              <w:t>95</w:t>
            </w:r>
          </w:p>
        </w:tc>
        <w:tc>
          <w:tcPr>
            <w:tcW w:w="2393" w:type="dxa"/>
            <w:vAlign w:val="center"/>
          </w:tcPr>
          <w:p>
            <w:pPr>
              <w:pStyle w:val="26"/>
              <w:widowControl w:val="0"/>
              <w:ind w:firstLine="360"/>
              <w:jc w:val="center"/>
              <w:rPr>
                <w:color w:val="000000" w:themeColor="text1"/>
                <w:highlight w:val="none"/>
                <w14:textFill>
                  <w14:solidFill>
                    <w14:schemeClr w14:val="tx1"/>
                  </w14:solidFill>
                </w14:textFill>
              </w:rPr>
            </w:pPr>
            <w:r>
              <w:rPr>
                <w:rFonts w:hint="eastAsia" w:asciiTheme="minorEastAsia" w:hAnsiTheme="minorEastAsia" w:cstheme="minorEastAsia"/>
                <w:color w:val="000000" w:themeColor="text1"/>
                <w:kern w:val="2"/>
                <w:sz w:val="18"/>
                <w:szCs w:val="18"/>
                <w:highlight w:val="none"/>
                <w14:textFill>
                  <w14:solidFill>
                    <w14:schemeClr w14:val="tx1"/>
                  </w14:solidFill>
                </w14:textFill>
              </w:rPr>
              <w:t>118</w:t>
            </w:r>
          </w:p>
        </w:tc>
        <w:tc>
          <w:tcPr>
            <w:tcW w:w="2393" w:type="dxa"/>
            <w:vAlign w:val="center"/>
          </w:tcPr>
          <w:p>
            <w:pPr>
              <w:pStyle w:val="26"/>
              <w:widowControl w:val="0"/>
              <w:ind w:firstLine="360"/>
              <w:jc w:val="center"/>
              <w:rPr>
                <w:color w:val="000000" w:themeColor="text1"/>
                <w:highlight w:val="none"/>
                <w14:textFill>
                  <w14:solidFill>
                    <w14:schemeClr w14:val="tx1"/>
                  </w14:solidFill>
                </w14:textFill>
              </w:rPr>
            </w:pPr>
            <w:r>
              <w:rPr>
                <w:rFonts w:hint="eastAsia" w:asciiTheme="minorEastAsia" w:hAnsiTheme="minorEastAsia" w:cstheme="minorEastAsia"/>
                <w:color w:val="000000" w:themeColor="text1"/>
                <w:kern w:val="2"/>
                <w:sz w:val="18"/>
                <w:szCs w:val="18"/>
                <w:highlight w:val="none"/>
                <w14:textFill>
                  <w14:solidFill>
                    <w14:schemeClr w14:val="tx1"/>
                  </w14:solidFill>
                </w14:textFill>
              </w:rPr>
              <w:t>185</w:t>
            </w:r>
          </w:p>
        </w:tc>
        <w:tc>
          <w:tcPr>
            <w:tcW w:w="2393" w:type="dxa"/>
            <w:vAlign w:val="center"/>
          </w:tcPr>
          <w:p>
            <w:pPr>
              <w:pStyle w:val="26"/>
              <w:widowControl w:val="0"/>
              <w:ind w:firstLine="360"/>
              <w:jc w:val="center"/>
              <w:rPr>
                <w:color w:val="000000" w:themeColor="text1"/>
                <w:highlight w:val="none"/>
                <w14:textFill>
                  <w14:solidFill>
                    <w14:schemeClr w14:val="tx1"/>
                  </w14:solidFill>
                </w14:textFill>
              </w:rPr>
            </w:pPr>
            <w:r>
              <w:rPr>
                <w:rFonts w:hint="eastAsia" w:asciiTheme="minorEastAsia" w:hAnsiTheme="minorEastAsia" w:cstheme="minorEastAsia"/>
                <w:color w:val="000000" w:themeColor="text1"/>
                <w:kern w:val="2"/>
                <w:sz w:val="18"/>
                <w:szCs w:val="18"/>
                <w:highlight w:val="none"/>
                <w14:textFill>
                  <w14:solidFill>
                    <w14:schemeClr w14:val="tx1"/>
                  </w14:solidFill>
                </w14:textFill>
              </w:rPr>
              <w:t>215</w:t>
            </w:r>
          </w:p>
        </w:tc>
      </w:tr>
    </w:tbl>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额定频率（</w:t>
      </w:r>
      <w:r>
        <w:rPr>
          <w:rFonts w:hint="eastAsia"/>
          <w:color w:val="000000" w:themeColor="text1"/>
          <w:highlight w:val="none"/>
          <w14:textFill>
            <w14:solidFill>
              <w14:schemeClr w14:val="tx1"/>
            </w14:solidFill>
          </w14:textFill>
        </w:rPr>
        <w:t>f</w:t>
      </w:r>
      <w:r>
        <w:rPr>
          <w:rFonts w:ascii="Times New Roman" w:eastAsiaTheme="minorEastAsia"/>
          <w:color w:val="000000" w:themeColor="text1"/>
          <w:highlight w:val="none"/>
          <w:vertAlign w:val="subscript"/>
          <w:lang w:bidi="en-US"/>
          <w14:textFill>
            <w14:solidFill>
              <w14:schemeClr w14:val="tx1"/>
            </w14:solidFill>
          </w14:textFill>
        </w:rPr>
        <w:t>r</w:t>
      </w:r>
      <w:r>
        <w:rPr>
          <w:color w:val="000000" w:themeColor="text1"/>
          <w:highlight w:val="none"/>
          <w14:textFill>
            <w14:solidFill>
              <w14:schemeClr w14:val="tx1"/>
            </w14:solidFill>
          </w14:textFill>
        </w:rPr>
        <w:t>）</w:t>
      </w:r>
    </w:p>
    <w:p>
      <w:pPr>
        <w:pStyle w:val="26"/>
        <w:ind w:firstLineChars="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海上风电用高压开关柜</w:t>
      </w:r>
      <w:r>
        <w:rPr>
          <w:color w:val="000000" w:themeColor="text1"/>
          <w:highlight w:val="none"/>
          <w14:textFill>
            <w14:solidFill>
              <w14:schemeClr w14:val="tx1"/>
            </w14:solidFill>
          </w14:textFill>
        </w:rPr>
        <w:t>的额定频率为50Hz</w:t>
      </w:r>
      <w:r>
        <w:rPr>
          <w:rFonts w:hint="eastAsia"/>
          <w:color w:val="000000" w:themeColor="text1"/>
          <w:highlight w:val="none"/>
          <w14:textFill>
            <w14:solidFill>
              <w14:schemeClr w14:val="tx1"/>
            </w14:solidFill>
          </w14:textFill>
        </w:rPr>
        <w:t>。</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额定电流（</w:t>
      </w:r>
      <w:r>
        <w:rPr>
          <w:rFonts w:ascii="Times New Roman" w:eastAsiaTheme="minorEastAsia"/>
          <w:color w:val="000000" w:themeColor="text1"/>
          <w:highlight w:val="none"/>
          <w:lang w:bidi="en-US"/>
          <w14:textFill>
            <w14:solidFill>
              <w14:schemeClr w14:val="tx1"/>
            </w14:solidFill>
          </w14:textFill>
        </w:rPr>
        <w:t>I</w:t>
      </w:r>
      <w:r>
        <w:rPr>
          <w:rFonts w:ascii="Times New Roman" w:eastAsiaTheme="minorEastAsia"/>
          <w:color w:val="000000" w:themeColor="text1"/>
          <w:highlight w:val="none"/>
          <w:vertAlign w:val="subscript"/>
          <w:lang w:bidi="en-US"/>
          <w14:textFill>
            <w14:solidFill>
              <w14:schemeClr w14:val="tx1"/>
            </w14:solidFill>
          </w14:textFill>
        </w:rPr>
        <w:t>r</w:t>
      </w:r>
      <w:r>
        <w:rPr>
          <w:color w:val="000000" w:themeColor="text1"/>
          <w:highlight w:val="none"/>
          <w14:textFill>
            <w14:solidFill>
              <w14:schemeClr w14:val="tx1"/>
            </w14:solidFill>
          </w14:textFill>
        </w:rPr>
        <w:t>）</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海上风电用高压开关柜</w:t>
      </w:r>
      <w:r>
        <w:rPr>
          <w:color w:val="000000" w:themeColor="text1"/>
          <w:highlight w:val="none"/>
          <w14:textFill>
            <w14:solidFill>
              <w14:schemeClr w14:val="tx1"/>
            </w14:solidFill>
          </w14:textFill>
        </w:rPr>
        <w:t>的负荷开关单元柜额定电流</w:t>
      </w:r>
      <w:r>
        <w:rPr>
          <w:rFonts w:hint="eastAsia"/>
          <w:color w:val="000000" w:themeColor="text1"/>
          <w:highlight w:val="none"/>
          <w14:textFill>
            <w14:solidFill>
              <w14:schemeClr w14:val="tx1"/>
            </w14:solidFill>
          </w14:textFill>
        </w:rPr>
        <w:t>为</w:t>
      </w:r>
      <w:r>
        <w:rPr>
          <w:color w:val="000000" w:themeColor="text1"/>
          <w:highlight w:val="none"/>
          <w14:textFill>
            <w14:solidFill>
              <w14:schemeClr w14:val="tx1"/>
            </w14:solidFill>
          </w14:textFill>
        </w:rPr>
        <w:t>630A</w:t>
      </w:r>
      <w:r>
        <w:rPr>
          <w:rFonts w:hint="eastAsia"/>
          <w:color w:val="000000" w:themeColor="text1"/>
          <w:highlight w:val="none"/>
          <w14:textFill>
            <w14:solidFill>
              <w14:schemeClr w14:val="tx1"/>
            </w14:solidFill>
          </w14:textFill>
        </w:rPr>
        <w:t>或</w:t>
      </w:r>
      <w:r>
        <w:rPr>
          <w:color w:val="000000" w:themeColor="text1"/>
          <w:highlight w:val="none"/>
          <w14:textFill>
            <w14:solidFill>
              <w14:schemeClr w14:val="tx1"/>
            </w14:solidFill>
          </w14:textFill>
        </w:rPr>
        <w:t>1250A</w:t>
      </w:r>
      <w:r>
        <w:rPr>
          <w:rFonts w:hint="eastAsia"/>
          <w:color w:val="000000" w:themeColor="text1"/>
          <w:highlight w:val="none"/>
          <w14:textFill>
            <w14:solidFill>
              <w14:schemeClr w14:val="tx1"/>
            </w14:solidFill>
          </w14:textFill>
        </w:rPr>
        <w:t>。</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海上风电用高压开关柜</w:t>
      </w:r>
      <w:r>
        <w:rPr>
          <w:color w:val="000000" w:themeColor="text1"/>
          <w:highlight w:val="none"/>
          <w14:textFill>
            <w14:solidFill>
              <w14:schemeClr w14:val="tx1"/>
            </w14:solidFill>
          </w14:textFill>
        </w:rPr>
        <w:t>的断路器单元柜额定电流</w:t>
      </w:r>
      <w:r>
        <w:rPr>
          <w:rFonts w:hint="eastAsia"/>
          <w:color w:val="000000" w:themeColor="text1"/>
          <w:highlight w:val="none"/>
          <w14:textFill>
            <w14:solidFill>
              <w14:schemeClr w14:val="tx1"/>
            </w14:solidFill>
          </w14:textFill>
        </w:rPr>
        <w:t>为</w:t>
      </w:r>
      <w:r>
        <w:rPr>
          <w:color w:val="000000" w:themeColor="text1"/>
          <w:highlight w:val="none"/>
          <w14:textFill>
            <w14:solidFill>
              <w14:schemeClr w14:val="tx1"/>
            </w14:solidFill>
          </w14:textFill>
        </w:rPr>
        <w:t>630A</w:t>
      </w:r>
      <w:r>
        <w:rPr>
          <w:rFonts w:hint="eastAsia"/>
          <w:color w:val="000000" w:themeColor="text1"/>
          <w:highlight w:val="none"/>
          <w14:textFill>
            <w14:solidFill>
              <w14:schemeClr w14:val="tx1"/>
            </w14:solidFill>
          </w14:textFill>
        </w:rPr>
        <w:t>或</w:t>
      </w:r>
      <w:r>
        <w:rPr>
          <w:color w:val="000000" w:themeColor="text1"/>
          <w:highlight w:val="none"/>
          <w14:textFill>
            <w14:solidFill>
              <w14:schemeClr w14:val="tx1"/>
            </w14:solidFill>
          </w14:textFill>
        </w:rPr>
        <w:t>1250A</w:t>
      </w:r>
      <w:r>
        <w:rPr>
          <w:rFonts w:hint="eastAsia"/>
          <w:color w:val="000000" w:themeColor="text1"/>
          <w:highlight w:val="none"/>
          <w14:textFill>
            <w14:solidFill>
              <w14:schemeClr w14:val="tx1"/>
            </w14:solidFill>
          </w14:textFill>
        </w:rPr>
        <w:t>。</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额定短时耐受电流（</w:t>
      </w:r>
      <w:r>
        <w:rPr>
          <w:rFonts w:ascii="Times New Roman" w:eastAsiaTheme="minorEastAsia"/>
          <w:color w:val="000000" w:themeColor="text1"/>
          <w:highlight w:val="none"/>
          <w:lang w:bidi="en-US"/>
          <w14:textFill>
            <w14:solidFill>
              <w14:schemeClr w14:val="tx1"/>
            </w14:solidFill>
          </w14:textFill>
        </w:rPr>
        <w:t>I</w:t>
      </w:r>
      <w:r>
        <w:rPr>
          <w:rFonts w:ascii="Times New Roman" w:eastAsiaTheme="minorEastAsia"/>
          <w:color w:val="000000" w:themeColor="text1"/>
          <w:highlight w:val="none"/>
          <w:vertAlign w:val="subscript"/>
          <w:lang w:bidi="en-US"/>
          <w14:textFill>
            <w14:solidFill>
              <w14:schemeClr w14:val="tx1"/>
            </w14:solidFill>
          </w14:textFill>
        </w:rPr>
        <w:t>k</w:t>
      </w:r>
      <w:r>
        <w:rPr>
          <w:color w:val="000000" w:themeColor="text1"/>
          <w:highlight w:val="none"/>
          <w14:textFill>
            <w14:solidFill>
              <w14:schemeClr w14:val="tx1"/>
            </w14:solidFill>
          </w14:textFill>
        </w:rPr>
        <w:t>）</w:t>
      </w:r>
    </w:p>
    <w:p>
      <w:pPr>
        <w:pStyle w:val="26"/>
        <w:ind w:firstLineChars="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海上风电用高压开关柜</w:t>
      </w:r>
      <w:r>
        <w:rPr>
          <w:color w:val="000000" w:themeColor="text1"/>
          <w:highlight w:val="none"/>
          <w14:textFill>
            <w14:solidFill>
              <w14:schemeClr w14:val="tx1"/>
            </w14:solidFill>
          </w14:textFill>
        </w:rPr>
        <w:t>的负荷开关单元柜额定短时耐受电流为20kA。</w:t>
      </w:r>
    </w:p>
    <w:p>
      <w:pPr>
        <w:pStyle w:val="26"/>
        <w:ind w:firstLineChars="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海上风电用高压开关柜</w:t>
      </w:r>
      <w:r>
        <w:rPr>
          <w:color w:val="000000" w:themeColor="text1"/>
          <w:highlight w:val="none"/>
          <w14:textFill>
            <w14:solidFill>
              <w14:schemeClr w14:val="tx1"/>
            </w14:solidFill>
          </w14:textFill>
        </w:rPr>
        <w:t>的断路器单元柜额定短时耐受电流为25kA</w:t>
      </w:r>
      <w:r>
        <w:rPr>
          <w:rFonts w:hint="eastAsia"/>
          <w:color w:val="000000" w:themeColor="text1"/>
          <w:highlight w:val="none"/>
          <w14:textFill>
            <w14:solidFill>
              <w14:schemeClr w14:val="tx1"/>
            </w14:solidFill>
          </w14:textFill>
        </w:rPr>
        <w:t>或</w:t>
      </w:r>
      <w:r>
        <w:rPr>
          <w:color w:val="000000" w:themeColor="text1"/>
          <w:highlight w:val="none"/>
          <w14:textFill>
            <w14:solidFill>
              <w14:schemeClr w14:val="tx1"/>
            </w14:solidFill>
          </w14:textFill>
        </w:rPr>
        <w:t>31.5kA。</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额定峰值耐受电流</w:t>
      </w:r>
      <w:r>
        <w:rPr>
          <w:color w:val="000000" w:themeColor="text1"/>
          <w:highlight w:val="none"/>
          <w:lang w:bidi="en-US"/>
          <w14:textFill>
            <w14:solidFill>
              <w14:schemeClr w14:val="tx1"/>
            </w14:solidFill>
          </w14:textFill>
        </w:rPr>
        <w:t>（</w:t>
      </w:r>
      <w:r>
        <w:rPr>
          <w:rFonts w:ascii="Times New Roman" w:eastAsiaTheme="minorEastAsia"/>
          <w:color w:val="000000" w:themeColor="text1"/>
          <w:highlight w:val="none"/>
          <w:lang w:bidi="en-US"/>
          <w14:textFill>
            <w14:solidFill>
              <w14:schemeClr w14:val="tx1"/>
            </w14:solidFill>
          </w14:textFill>
        </w:rPr>
        <w:t>I</w:t>
      </w:r>
      <w:r>
        <w:rPr>
          <w:rFonts w:ascii="Times New Roman" w:eastAsiaTheme="minorEastAsia"/>
          <w:color w:val="000000" w:themeColor="text1"/>
          <w:highlight w:val="none"/>
          <w:vertAlign w:val="subscript"/>
          <w:lang w:bidi="en-US"/>
          <w14:textFill>
            <w14:solidFill>
              <w14:schemeClr w14:val="tx1"/>
            </w14:solidFill>
          </w14:textFill>
        </w:rPr>
        <w:t>p</w:t>
      </w:r>
      <w:r>
        <w:rPr>
          <w:color w:val="000000" w:themeColor="text1"/>
          <w:highlight w:val="none"/>
          <w:lang w:bidi="en-US"/>
          <w14:textFill>
            <w14:solidFill>
              <w14:schemeClr w14:val="tx1"/>
            </w14:solidFill>
          </w14:textFill>
        </w:rPr>
        <w:t>）</w:t>
      </w:r>
    </w:p>
    <w:p>
      <w:pPr>
        <w:pStyle w:val="26"/>
        <w:ind w:firstLineChars="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海上风电用高压开关柜</w:t>
      </w:r>
      <w:r>
        <w:rPr>
          <w:color w:val="000000" w:themeColor="text1"/>
          <w:highlight w:val="none"/>
          <w14:textFill>
            <w14:solidFill>
              <w14:schemeClr w14:val="tx1"/>
            </w14:solidFill>
          </w14:textFill>
        </w:rPr>
        <w:t>的负荷开关单元柜额定峰值耐受电流为50kA。</w:t>
      </w:r>
    </w:p>
    <w:p>
      <w:pPr>
        <w:pStyle w:val="26"/>
        <w:ind w:firstLineChars="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海上风电用高压开关柜</w:t>
      </w:r>
      <w:r>
        <w:rPr>
          <w:color w:val="000000" w:themeColor="text1"/>
          <w:highlight w:val="none"/>
          <w14:textFill>
            <w14:solidFill>
              <w14:schemeClr w14:val="tx1"/>
            </w14:solidFill>
          </w14:textFill>
        </w:rPr>
        <w:t>的断路器单元柜额定峰值耐受电流为63kA</w:t>
      </w:r>
      <w:r>
        <w:rPr>
          <w:rFonts w:hint="eastAsia"/>
          <w:color w:val="000000" w:themeColor="text1"/>
          <w:highlight w:val="none"/>
          <w14:textFill>
            <w14:solidFill>
              <w14:schemeClr w14:val="tx1"/>
            </w14:solidFill>
          </w14:textFill>
        </w:rPr>
        <w:t>或</w:t>
      </w:r>
      <w:r>
        <w:rPr>
          <w:color w:val="000000" w:themeColor="text1"/>
          <w:highlight w:val="none"/>
          <w14:textFill>
            <w14:solidFill>
              <w14:schemeClr w14:val="tx1"/>
            </w14:solidFill>
          </w14:textFill>
        </w:rPr>
        <w:t>80kA。</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额定</w:t>
      </w:r>
      <w:r>
        <w:rPr>
          <w:rFonts w:hint="eastAsia"/>
          <w:color w:val="000000" w:themeColor="text1"/>
          <w:highlight w:val="none"/>
          <w14:textFill>
            <w14:solidFill>
              <w14:schemeClr w14:val="tx1"/>
            </w14:solidFill>
          </w14:textFill>
        </w:rPr>
        <w:t>短路持续</w:t>
      </w:r>
      <w:r>
        <w:rPr>
          <w:color w:val="000000" w:themeColor="text1"/>
          <w:highlight w:val="none"/>
          <w14:textFill>
            <w14:solidFill>
              <w14:schemeClr w14:val="tx1"/>
            </w14:solidFill>
          </w14:textFill>
        </w:rPr>
        <w:t>时间（t</w:t>
      </w:r>
      <w:r>
        <w:rPr>
          <w:color w:val="000000" w:themeColor="text1"/>
          <w:highlight w:val="none"/>
          <w:vertAlign w:val="subscript"/>
          <w14:textFill>
            <w14:solidFill>
              <w14:schemeClr w14:val="tx1"/>
            </w14:solidFill>
          </w14:textFill>
        </w:rPr>
        <w:t>k</w:t>
      </w:r>
      <w:r>
        <w:rPr>
          <w:color w:val="000000" w:themeColor="text1"/>
          <w:highlight w:val="none"/>
          <w14:textFill>
            <w14:solidFill>
              <w14:schemeClr w14:val="tx1"/>
            </w14:solidFill>
          </w14:textFill>
        </w:rPr>
        <w:t>）</w:t>
      </w:r>
    </w:p>
    <w:p>
      <w:pPr>
        <w:pStyle w:val="26"/>
        <w:ind w:firstLineChars="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海上风电用高压开关柜</w:t>
      </w:r>
      <w:r>
        <w:rPr>
          <w:color w:val="000000" w:themeColor="text1"/>
          <w:highlight w:val="none"/>
          <w14:textFill>
            <w14:solidFill>
              <w14:schemeClr w14:val="tx1"/>
            </w14:solidFill>
          </w14:textFill>
        </w:rPr>
        <w:t>的额定短</w:t>
      </w:r>
      <w:r>
        <w:rPr>
          <w:rFonts w:hint="eastAsia"/>
          <w:color w:val="000000" w:themeColor="text1"/>
          <w:highlight w:val="none"/>
          <w14:textFill>
            <w14:solidFill>
              <w14:schemeClr w14:val="tx1"/>
            </w14:solidFill>
          </w14:textFill>
        </w:rPr>
        <w:t>路持续</w:t>
      </w:r>
      <w:r>
        <w:rPr>
          <w:color w:val="000000" w:themeColor="text1"/>
          <w:highlight w:val="none"/>
          <w14:textFill>
            <w14:solidFill>
              <w14:schemeClr w14:val="tx1"/>
            </w14:solidFill>
          </w14:textFill>
        </w:rPr>
        <w:t>时间为4s.</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分闸、合闸装置和辅助回路的额定电源电压(U</w:t>
      </w:r>
      <w:r>
        <w:rPr>
          <w:color w:val="000000" w:themeColor="text1"/>
          <w:highlight w:val="none"/>
          <w:vertAlign w:val="subscript"/>
          <w14:textFill>
            <w14:solidFill>
              <w14:schemeClr w14:val="tx1"/>
            </w14:solidFill>
          </w14:textFill>
        </w:rPr>
        <w:t>a</w:t>
      </w:r>
      <w:r>
        <w:rPr>
          <w:color w:val="000000" w:themeColor="text1"/>
          <w:highlight w:val="none"/>
          <w14:textFill>
            <w14:solidFill>
              <w14:schemeClr w14:val="tx1"/>
            </w14:solidFill>
          </w14:textFill>
        </w:rPr>
        <w:t>)</w:t>
      </w:r>
    </w:p>
    <w:p>
      <w:pPr>
        <w:pStyle w:val="26"/>
        <w:ind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额定电源电压为AC/DC 220V、110V、48V、24V。</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分闸、合闸装置和辅助回路的额定电源频率</w:t>
      </w:r>
    </w:p>
    <w:p>
      <w:pPr>
        <w:pStyle w:val="26"/>
        <w:ind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额定电源频率为50Hz。</w:t>
      </w:r>
    </w:p>
    <w:p>
      <w:pPr>
        <w:pStyle w:val="33"/>
        <w:spacing w:before="156" w:after="156"/>
        <w:rPr>
          <w:rFonts w:hAnsi="黑体"/>
          <w:color w:val="000000" w:themeColor="text1"/>
          <w:highlight w:val="none"/>
          <w14:textFill>
            <w14:solidFill>
              <w14:schemeClr w14:val="tx1"/>
            </w14:solidFill>
          </w14:textFill>
        </w:rPr>
      </w:pPr>
      <w:r>
        <w:rPr>
          <w:rFonts w:hAnsi="黑体"/>
          <w:color w:val="000000" w:themeColor="text1"/>
          <w:highlight w:val="none"/>
          <w14:textFill>
            <w14:solidFill>
              <w14:schemeClr w14:val="tx1"/>
            </w14:solidFill>
          </w14:textFill>
        </w:rPr>
        <w:t>绝缘</w:t>
      </w:r>
      <w:r>
        <w:rPr>
          <w:rFonts w:hint="eastAsia" w:hAnsi="黑体"/>
          <w:color w:val="000000" w:themeColor="text1"/>
          <w:highlight w:val="none"/>
          <w14:textFill>
            <w14:solidFill>
              <w14:schemeClr w14:val="tx1"/>
            </w14:solidFill>
          </w14:textFill>
        </w:rPr>
        <w:t>和/或开合</w:t>
      </w:r>
      <w:r>
        <w:rPr>
          <w:rFonts w:hAnsi="黑体"/>
          <w:color w:val="000000" w:themeColor="text1"/>
          <w:highlight w:val="none"/>
          <w14:textFill>
            <w14:solidFill>
              <w14:schemeClr w14:val="tx1"/>
            </w14:solidFill>
          </w14:textFill>
        </w:rPr>
        <w:t>用的额定充</w:t>
      </w:r>
      <w:r>
        <w:rPr>
          <w:rFonts w:hint="eastAsia" w:hAnsi="黑体"/>
          <w:color w:val="000000" w:themeColor="text1"/>
          <w:highlight w:val="none"/>
          <w14:textFill>
            <w14:solidFill>
              <w14:schemeClr w14:val="tx1"/>
            </w14:solidFill>
          </w14:textFill>
        </w:rPr>
        <w:t>入</w:t>
      </w:r>
      <w:r>
        <w:rPr>
          <w:rFonts w:hAnsi="黑体"/>
          <w:color w:val="000000" w:themeColor="text1"/>
          <w:highlight w:val="none"/>
          <w14:textFill>
            <w14:solidFill>
              <w14:schemeClr w14:val="tx1"/>
            </w14:solidFill>
          </w14:textFill>
        </w:rPr>
        <w:t>压力/水平（20℃时表压）</w:t>
      </w:r>
    </w:p>
    <w:p>
      <w:pPr>
        <w:pStyle w:val="26"/>
        <w:ind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在20</w:t>
      </w:r>
      <w:r>
        <w:rPr>
          <w:rFonts w:hint="eastAsia" w:hAnsi="宋体" w:eastAsia="宋体" w:cs="宋体"/>
          <w:color w:val="000000" w:themeColor="text1"/>
          <w:highlight w:val="none"/>
          <w14:textFill>
            <w14:solidFill>
              <w14:schemeClr w14:val="tx1"/>
            </w14:solidFill>
          </w14:textFill>
        </w:rPr>
        <w:t>℃</w:t>
      </w:r>
      <w:r>
        <w:rPr>
          <w:rFonts w:hAnsi="宋体" w:eastAsia="宋体" w:cs="宋体"/>
          <w:color w:val="000000" w:themeColor="text1"/>
          <w:highlight w:val="none"/>
          <w14:textFill>
            <w14:solidFill>
              <w14:schemeClr w14:val="tx1"/>
            </w14:solidFill>
          </w14:textFill>
        </w:rPr>
        <w:t>时表压的情况下，</w:t>
      </w:r>
      <w:r>
        <w:rPr>
          <w:rFonts w:hint="eastAsia"/>
          <w:color w:val="000000" w:themeColor="text1"/>
          <w:highlight w:val="none"/>
          <w14:textFill>
            <w14:solidFill>
              <w14:schemeClr w14:val="tx1"/>
            </w14:solidFill>
          </w14:textFill>
        </w:rPr>
        <w:t>海上风电用高压开关柜</w:t>
      </w:r>
      <w:r>
        <w:rPr>
          <w:color w:val="000000" w:themeColor="text1"/>
          <w:highlight w:val="none"/>
          <w14:textFill>
            <w14:solidFill>
              <w14:schemeClr w14:val="tx1"/>
            </w14:solidFill>
          </w14:textFill>
        </w:rPr>
        <w:t>在投运前充入设备的气体压力为0.0</w:t>
      </w:r>
      <w:r>
        <w:rPr>
          <w:rFonts w:hint="eastAsia"/>
          <w:color w:val="000000" w:themeColor="text1"/>
          <w:highlight w:val="none"/>
          <w14:textFill>
            <w14:solidFill>
              <w14:schemeClr w14:val="tx1"/>
            </w14:solidFill>
          </w14:textFill>
        </w:rPr>
        <w:t>3</w:t>
      </w:r>
      <w:r>
        <w:rPr>
          <w:color w:val="000000" w:themeColor="text1"/>
          <w:highlight w:val="none"/>
          <w14:textFill>
            <w14:solidFill>
              <w14:schemeClr w14:val="tx1"/>
            </w14:solidFill>
          </w14:textFill>
        </w:rPr>
        <w:t>Mpa</w:t>
      </w:r>
      <w:r>
        <w:rPr>
          <w:rFonts w:hint="eastAsia"/>
          <w:color w:val="000000" w:themeColor="text1"/>
          <w:highlight w:val="none"/>
          <w14:textFill>
            <w14:solidFill>
              <w14:schemeClr w14:val="tx1"/>
            </w14:solidFill>
          </w14:textFill>
        </w:rPr>
        <w:t>或</w:t>
      </w:r>
      <w:r>
        <w:rPr>
          <w:color w:val="000000" w:themeColor="text1"/>
          <w:highlight w:val="none"/>
          <w14:textFill>
            <w14:solidFill>
              <w14:schemeClr w14:val="tx1"/>
            </w14:solidFill>
          </w14:textFill>
        </w:rPr>
        <w:t xml:space="preserve"> 0.04Mpa。</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绝缘用的额定充</w:t>
      </w:r>
      <w:r>
        <w:rPr>
          <w:rFonts w:hint="eastAsia"/>
          <w:color w:val="000000" w:themeColor="text1"/>
          <w:highlight w:val="none"/>
          <w14:textFill>
            <w14:solidFill>
              <w14:schemeClr w14:val="tx1"/>
            </w14:solidFill>
          </w14:textFill>
        </w:rPr>
        <w:t>入</w:t>
      </w:r>
      <w:r>
        <w:rPr>
          <w:color w:val="000000" w:themeColor="text1"/>
          <w:highlight w:val="none"/>
          <w14:textFill>
            <w14:solidFill>
              <w14:schemeClr w14:val="tx1"/>
            </w14:solidFill>
          </w14:textFill>
        </w:rPr>
        <w:t>最低功能压力/水平（20℃时表压）</w:t>
      </w:r>
    </w:p>
    <w:p>
      <w:pPr>
        <w:pStyle w:val="26"/>
        <w:ind w:firstLineChars="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在20</w:t>
      </w:r>
      <w:r>
        <w:rPr>
          <w:rFonts w:hint="eastAsia" w:hAnsi="宋体" w:eastAsia="宋体" w:cs="宋体"/>
          <w:color w:val="000000" w:themeColor="text1"/>
          <w:highlight w:val="none"/>
          <w14:textFill>
            <w14:solidFill>
              <w14:schemeClr w14:val="tx1"/>
            </w14:solidFill>
          </w14:textFill>
        </w:rPr>
        <w:t>℃</w:t>
      </w:r>
      <w:r>
        <w:rPr>
          <w:rFonts w:hAnsi="宋体" w:eastAsia="宋体" w:cs="宋体"/>
          <w:color w:val="000000" w:themeColor="text1"/>
          <w:highlight w:val="none"/>
          <w14:textFill>
            <w14:solidFill>
              <w14:schemeClr w14:val="tx1"/>
            </w14:solidFill>
          </w14:textFill>
        </w:rPr>
        <w:t>时表压的情况下，</w:t>
      </w:r>
      <w:r>
        <w:rPr>
          <w:rFonts w:hint="eastAsia"/>
          <w:color w:val="000000" w:themeColor="text1"/>
          <w:highlight w:val="none"/>
          <w14:textFill>
            <w14:solidFill>
              <w14:schemeClr w14:val="tx1"/>
            </w14:solidFill>
          </w14:textFill>
        </w:rPr>
        <w:t>海上风电用高压开关柜</w:t>
      </w:r>
      <w:r>
        <w:rPr>
          <w:color w:val="000000" w:themeColor="text1"/>
          <w:highlight w:val="none"/>
          <w14:textFill>
            <w14:solidFill>
              <w14:schemeClr w14:val="tx1"/>
            </w14:solidFill>
          </w14:textFill>
        </w:rPr>
        <w:t>在投运前充入设备的气体的最低功能压力为0.0</w:t>
      </w:r>
      <w:r>
        <w:rPr>
          <w:rFonts w:hint="eastAsia"/>
          <w:color w:val="000000" w:themeColor="text1"/>
          <w:highlight w:val="none"/>
          <w14:textFill>
            <w14:solidFill>
              <w14:schemeClr w14:val="tx1"/>
            </w14:solidFill>
          </w14:textFill>
        </w:rPr>
        <w:t>1</w:t>
      </w:r>
      <w:r>
        <w:rPr>
          <w:color w:val="000000" w:themeColor="text1"/>
          <w:highlight w:val="none"/>
          <w14:textFill>
            <w14:solidFill>
              <w14:schemeClr w14:val="tx1"/>
            </w14:solidFill>
          </w14:textFill>
        </w:rPr>
        <w:t>Mpa</w:t>
      </w:r>
      <w:r>
        <w:rPr>
          <w:rFonts w:hint="eastAsia"/>
          <w:color w:val="000000" w:themeColor="text1"/>
          <w:highlight w:val="none"/>
          <w14:textFill>
            <w14:solidFill>
              <w14:schemeClr w14:val="tx1"/>
            </w14:solidFill>
          </w14:textFill>
        </w:rPr>
        <w:t>或</w:t>
      </w:r>
      <w:r>
        <w:rPr>
          <w:color w:val="000000" w:themeColor="text1"/>
          <w:highlight w:val="none"/>
          <w14:textFill>
            <w14:solidFill>
              <w14:schemeClr w14:val="tx1"/>
            </w14:solidFill>
          </w14:textFill>
        </w:rPr>
        <w:t>0.02Mpa。</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内部电弧级（</w:t>
      </w:r>
      <w:r>
        <w:rPr>
          <w:rFonts w:ascii="Times New Roman" w:eastAsiaTheme="minorEastAsia"/>
          <w:color w:val="000000" w:themeColor="text1"/>
          <w:highlight w:val="none"/>
          <w:lang w:bidi="en-US"/>
          <w14:textFill>
            <w14:solidFill>
              <w14:schemeClr w14:val="tx1"/>
            </w14:solidFill>
          </w14:textFill>
        </w:rPr>
        <w:t>IAC</w:t>
      </w:r>
      <w:r>
        <w:rPr>
          <w:color w:val="000000" w:themeColor="text1"/>
          <w:highlight w:val="none"/>
          <w14:textFill>
            <w14:solidFill>
              <w14:schemeClr w14:val="tx1"/>
            </w14:solidFill>
          </w14:textFill>
        </w:rPr>
        <w:t>）的额定值</w:t>
      </w:r>
    </w:p>
    <w:p>
      <w:pPr>
        <w:pStyle w:val="33"/>
        <w:numPr>
          <w:ilvl w:val="0"/>
          <w:numId w:val="0"/>
        </w:numPr>
        <w:spacing w:beforeLines="0" w:afterLines="0"/>
        <w:ind w:firstLine="420" w:firstLineChars="200"/>
        <w:outlineLvl w:val="9"/>
        <w:rPr>
          <w:rFonts w:ascii="宋体" w:eastAsia="宋体"/>
          <w:color w:val="000000" w:themeColor="text1"/>
          <w:szCs w:val="20"/>
          <w:highlight w:val="none"/>
          <w:lang w:bidi="en-US"/>
          <w14:textFill>
            <w14:solidFill>
              <w14:schemeClr w14:val="tx1"/>
            </w14:solidFill>
          </w14:textFill>
        </w:rPr>
      </w:pPr>
      <w:r>
        <w:rPr>
          <w:rFonts w:hint="eastAsia" w:ascii="宋体" w:eastAsia="宋体"/>
          <w:color w:val="000000" w:themeColor="text1"/>
          <w:szCs w:val="20"/>
          <w:highlight w:val="none"/>
          <w:lang w:bidi="en-US"/>
          <w14:textFill>
            <w14:solidFill>
              <w14:schemeClr w14:val="tx1"/>
            </w14:solidFill>
          </w14:textFill>
        </w:rPr>
        <w:t xml:space="preserve">应符合GB/T </w:t>
      </w:r>
      <w:r>
        <w:rPr>
          <w:rFonts w:ascii="宋体" w:eastAsia="宋体"/>
          <w:color w:val="000000" w:themeColor="text1"/>
          <w:szCs w:val="20"/>
          <w:highlight w:val="none"/>
          <w:lang w:bidi="en-US"/>
          <w14:textFill>
            <w14:solidFill>
              <w14:schemeClr w14:val="tx1"/>
            </w14:solidFill>
          </w14:textFill>
        </w:rPr>
        <w:t>3906</w:t>
      </w:r>
      <w:r>
        <w:rPr>
          <w:rFonts w:hint="eastAsia" w:ascii="Times New Roman" w:hAnsi="Times New Roman" w:cs="Times New Roman" w:eastAsiaTheme="minorEastAsia"/>
          <w:color w:val="000000" w:themeColor="text1"/>
          <w:highlight w:val="none"/>
          <w14:textFill>
            <w14:solidFill>
              <w14:schemeClr w14:val="tx1"/>
            </w14:solidFill>
          </w14:textFill>
        </w:rPr>
        <w:t>—</w:t>
      </w:r>
      <w:r>
        <w:rPr>
          <w:rFonts w:hint="eastAsia" w:ascii="宋体" w:eastAsia="宋体"/>
          <w:color w:val="000000" w:themeColor="text1"/>
          <w:szCs w:val="20"/>
          <w:highlight w:val="none"/>
          <w:lang w:bidi="en-US"/>
          <w14:textFill>
            <w14:solidFill>
              <w14:schemeClr w14:val="tx1"/>
            </w14:solidFill>
          </w14:textFill>
        </w:rPr>
        <w:t>20</w:t>
      </w:r>
      <w:r>
        <w:rPr>
          <w:rFonts w:ascii="宋体" w:eastAsia="宋体"/>
          <w:color w:val="000000" w:themeColor="text1"/>
          <w:szCs w:val="20"/>
          <w:highlight w:val="none"/>
          <w:lang w:bidi="en-US"/>
          <w14:textFill>
            <w14:solidFill>
              <w14:schemeClr w14:val="tx1"/>
            </w14:solidFill>
          </w14:textFill>
        </w:rPr>
        <w:t>20</w:t>
      </w:r>
      <w:r>
        <w:rPr>
          <w:rFonts w:hint="eastAsia" w:ascii="宋体" w:eastAsia="宋体"/>
          <w:color w:val="000000" w:themeColor="text1"/>
          <w:szCs w:val="20"/>
          <w:highlight w:val="none"/>
          <w:lang w:bidi="en-US"/>
          <w14:textFill>
            <w14:solidFill>
              <w14:schemeClr w14:val="tx1"/>
            </w14:solidFill>
          </w14:textFill>
        </w:rPr>
        <w:t>中</w:t>
      </w:r>
      <w:r>
        <w:rPr>
          <w:rFonts w:ascii="宋体" w:eastAsia="宋体"/>
          <w:color w:val="000000" w:themeColor="text1"/>
          <w:szCs w:val="20"/>
          <w:highlight w:val="none"/>
          <w:lang w:bidi="en-US"/>
          <w14:textFill>
            <w14:solidFill>
              <w14:schemeClr w14:val="tx1"/>
            </w14:solidFill>
          </w14:textFill>
        </w:rPr>
        <w:t>5.101.1、5.101.2、5.101.3、5.101.4</w:t>
      </w:r>
      <w:r>
        <w:rPr>
          <w:rFonts w:hint="eastAsia" w:ascii="宋体" w:eastAsia="宋体"/>
          <w:color w:val="000000" w:themeColor="text1"/>
          <w:szCs w:val="20"/>
          <w:highlight w:val="none"/>
          <w:lang w:bidi="en-US"/>
          <w14:textFill>
            <w14:solidFill>
              <w14:schemeClr w14:val="tx1"/>
            </w14:solidFill>
          </w14:textFill>
        </w:rPr>
        <w:t>的规定</w:t>
      </w:r>
      <w:r>
        <w:rPr>
          <w:color w:val="000000" w:themeColor="text1"/>
          <w:highlight w:val="none"/>
          <w14:textFill>
            <w14:solidFill>
              <w14:schemeClr w14:val="tx1"/>
            </w14:solidFill>
          </w14:textFill>
        </w:rPr>
        <w:t>，</w:t>
      </w:r>
      <w:r>
        <w:rPr>
          <w:rFonts w:hint="eastAsia" w:ascii="宋体" w:eastAsia="宋体"/>
          <w:color w:val="000000" w:themeColor="text1"/>
          <w:szCs w:val="20"/>
          <w:highlight w:val="none"/>
          <w:lang w:bidi="en-US"/>
          <w14:textFill>
            <w14:solidFill>
              <w14:schemeClr w14:val="tx1"/>
            </w14:solidFill>
          </w14:textFill>
        </w:rPr>
        <w:t>并作以下补充：</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对于三相电弧故障持续时间</w:t>
      </w:r>
      <w:r>
        <w:rPr>
          <w:color w:val="000000" w:themeColor="text1"/>
          <w:highlight w:val="none"/>
          <w14:textFill>
            <w14:solidFill>
              <w14:schemeClr w14:val="tx1"/>
            </w14:solidFill>
          </w14:textFill>
        </w:rPr>
        <w:t>（</w:t>
      </w:r>
      <w:r>
        <w:rPr>
          <w:color w:val="000000" w:themeColor="text1"/>
          <w:highlight w:val="none"/>
          <w:lang w:bidi="en-US"/>
          <w14:textFill>
            <w14:solidFill>
              <w14:schemeClr w14:val="tx1"/>
            </w14:solidFill>
          </w14:textFill>
        </w:rPr>
        <w:t>t</w:t>
      </w:r>
      <w:r>
        <w:rPr>
          <w:rFonts w:hint="eastAsia"/>
          <w:color w:val="000000" w:themeColor="text1"/>
          <w:highlight w:val="none"/>
          <w:vertAlign w:val="subscript"/>
          <w:lang w:bidi="en-US"/>
          <w14:textFill>
            <w14:solidFill>
              <w14:schemeClr w14:val="tx1"/>
            </w14:solidFill>
          </w14:textFill>
        </w:rPr>
        <w:t>A</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的标准推荐值为</w:t>
      </w:r>
      <w:r>
        <w:rPr>
          <w:color w:val="000000" w:themeColor="text1"/>
          <w:highlight w:val="none"/>
          <w14:textFill>
            <w14:solidFill>
              <w14:schemeClr w14:val="tx1"/>
            </w14:solidFill>
          </w14:textFill>
        </w:rPr>
        <w:t>0</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5</w:t>
      </w:r>
      <w:r>
        <w:rPr>
          <w:rFonts w:hint="eastAsia"/>
          <w:color w:val="000000" w:themeColor="text1"/>
          <w:highlight w:val="none"/>
          <w14:textFill>
            <w14:solidFill>
              <w14:schemeClr w14:val="tx1"/>
            </w14:solidFill>
          </w14:textFill>
        </w:rPr>
        <w:t>s和</w:t>
      </w:r>
      <w:r>
        <w:rPr>
          <w:color w:val="000000" w:themeColor="text1"/>
          <w:highlight w:val="none"/>
          <w14:textFill>
            <w14:solidFill>
              <w14:schemeClr w14:val="tx1"/>
            </w14:solidFill>
          </w14:textFill>
        </w:rPr>
        <w:t>1</w:t>
      </w:r>
      <w:r>
        <w:rPr>
          <w:rFonts w:hint="eastAsia"/>
          <w:color w:val="000000" w:themeColor="text1"/>
          <w:highlight w:val="none"/>
          <w14:textFill>
            <w14:solidFill>
              <w14:schemeClr w14:val="tx1"/>
            </w14:solidFill>
          </w14:textFill>
        </w:rPr>
        <w:t>s</w:t>
      </w:r>
      <w:r>
        <w:rPr>
          <w:color w:val="000000" w:themeColor="text1"/>
          <w:highlight w:val="none"/>
          <w14:textFill>
            <w14:solidFill>
              <w14:schemeClr w14:val="tx1"/>
            </w14:solidFill>
          </w14:textFill>
        </w:rPr>
        <w:t>。</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额定电缆试验电压</w:t>
      </w:r>
    </w:p>
    <w:p>
      <w:pPr>
        <w:pStyle w:val="33"/>
        <w:numPr>
          <w:ilvl w:val="0"/>
          <w:numId w:val="0"/>
        </w:numPr>
        <w:spacing w:beforeLines="0" w:afterLines="0"/>
        <w:ind w:firstLine="420" w:firstLineChars="200"/>
        <w:outlineLvl w:val="9"/>
        <w:rPr>
          <w:rFonts w:ascii="宋体" w:eastAsia="宋体"/>
          <w:color w:val="000000" w:themeColor="text1"/>
          <w:szCs w:val="20"/>
          <w:highlight w:val="none"/>
          <w:lang w:bidi="en-US"/>
          <w14:textFill>
            <w14:solidFill>
              <w14:schemeClr w14:val="tx1"/>
            </w14:solidFill>
          </w14:textFill>
        </w:rPr>
      </w:pPr>
      <w:r>
        <w:rPr>
          <w:rFonts w:hint="eastAsia" w:ascii="宋体" w:eastAsia="宋体"/>
          <w:color w:val="000000" w:themeColor="text1"/>
          <w:szCs w:val="20"/>
          <w:highlight w:val="none"/>
          <w:lang w:bidi="en-US"/>
          <w14:textFill>
            <w14:solidFill>
              <w14:schemeClr w14:val="tx1"/>
            </w14:solidFill>
          </w14:textFill>
        </w:rPr>
        <w:t xml:space="preserve">应符合GB/T </w:t>
      </w:r>
      <w:r>
        <w:rPr>
          <w:rFonts w:ascii="宋体" w:eastAsia="宋体"/>
          <w:color w:val="000000" w:themeColor="text1"/>
          <w:szCs w:val="20"/>
          <w:highlight w:val="none"/>
          <w:lang w:bidi="en-US"/>
          <w14:textFill>
            <w14:solidFill>
              <w14:schemeClr w14:val="tx1"/>
            </w14:solidFill>
          </w14:textFill>
        </w:rPr>
        <w:t>3906</w:t>
      </w:r>
      <w:r>
        <w:rPr>
          <w:rFonts w:hint="eastAsia" w:ascii="Times New Roman" w:hAnsi="Times New Roman" w:cs="Times New Roman" w:eastAsiaTheme="minorEastAsia"/>
          <w:color w:val="000000" w:themeColor="text1"/>
          <w:highlight w:val="none"/>
          <w14:textFill>
            <w14:solidFill>
              <w14:schemeClr w14:val="tx1"/>
            </w14:solidFill>
          </w14:textFill>
        </w:rPr>
        <w:t>—</w:t>
      </w:r>
      <w:r>
        <w:rPr>
          <w:rFonts w:hint="eastAsia" w:ascii="宋体" w:eastAsia="宋体"/>
          <w:color w:val="000000" w:themeColor="text1"/>
          <w:szCs w:val="20"/>
          <w:highlight w:val="none"/>
          <w:lang w:bidi="en-US"/>
          <w14:textFill>
            <w14:solidFill>
              <w14:schemeClr w14:val="tx1"/>
            </w14:solidFill>
          </w14:textFill>
        </w:rPr>
        <w:t>20</w:t>
      </w:r>
      <w:r>
        <w:rPr>
          <w:rFonts w:ascii="宋体" w:eastAsia="宋体"/>
          <w:color w:val="000000" w:themeColor="text1"/>
          <w:szCs w:val="20"/>
          <w:highlight w:val="none"/>
          <w:lang w:bidi="en-US"/>
          <w14:textFill>
            <w14:solidFill>
              <w14:schemeClr w14:val="tx1"/>
            </w14:solidFill>
          </w14:textFill>
        </w:rPr>
        <w:t>20</w:t>
      </w:r>
      <w:r>
        <w:rPr>
          <w:rFonts w:hint="eastAsia" w:ascii="宋体" w:eastAsia="宋体"/>
          <w:color w:val="000000" w:themeColor="text1"/>
          <w:szCs w:val="20"/>
          <w:highlight w:val="none"/>
          <w:lang w:bidi="en-US"/>
          <w14:textFill>
            <w14:solidFill>
              <w14:schemeClr w14:val="tx1"/>
            </w14:solidFill>
          </w14:textFill>
        </w:rPr>
        <w:t>中</w:t>
      </w:r>
      <w:r>
        <w:rPr>
          <w:rFonts w:ascii="宋体" w:eastAsia="宋体"/>
          <w:color w:val="000000" w:themeColor="text1"/>
          <w:szCs w:val="20"/>
          <w:highlight w:val="none"/>
          <w:lang w:bidi="en-US"/>
          <w14:textFill>
            <w14:solidFill>
              <w14:schemeClr w14:val="tx1"/>
            </w14:solidFill>
          </w14:textFill>
        </w:rPr>
        <w:t>5.102</w:t>
      </w:r>
      <w:r>
        <w:rPr>
          <w:rFonts w:hint="eastAsia" w:ascii="宋体" w:eastAsia="宋体"/>
          <w:color w:val="000000" w:themeColor="text1"/>
          <w:szCs w:val="20"/>
          <w:highlight w:val="none"/>
          <w:lang w:bidi="en-US"/>
          <w14:textFill>
            <w14:solidFill>
              <w14:schemeClr w14:val="tx1"/>
            </w14:solidFill>
          </w14:textFill>
        </w:rPr>
        <w:t>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额定短路开断电流</w:t>
      </w:r>
      <w:r>
        <w:rPr>
          <w:color w:val="000000" w:themeColor="text1"/>
          <w:highlight w:val="none"/>
          <w:lang w:bidi="en-US"/>
          <w14:textFill>
            <w14:solidFill>
              <w14:schemeClr w14:val="tx1"/>
            </w14:solidFill>
          </w14:textFill>
        </w:rPr>
        <w:t>（t</w:t>
      </w:r>
      <w:r>
        <w:rPr>
          <w:color w:val="000000" w:themeColor="text1"/>
          <w:highlight w:val="none"/>
          <w:vertAlign w:val="subscript"/>
          <w:lang w:bidi="en-US"/>
          <w14:textFill>
            <w14:solidFill>
              <w14:schemeClr w14:val="tx1"/>
            </w14:solidFill>
          </w14:textFill>
        </w:rPr>
        <w:t>k</w:t>
      </w:r>
      <w:r>
        <w:rPr>
          <w:color w:val="000000" w:themeColor="text1"/>
          <w:highlight w:val="none"/>
          <w:lang w:bidi="en-US"/>
          <w14:textFill>
            <w14:solidFill>
              <w14:schemeClr w14:val="tx1"/>
            </w14:solidFill>
          </w14:textFill>
        </w:rPr>
        <w:t>）</w:t>
      </w:r>
    </w:p>
    <w:p>
      <w:pPr>
        <w:pStyle w:val="26"/>
        <w:ind w:firstLineChars="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海上风电用高压开关柜</w:t>
      </w:r>
      <w:r>
        <w:rPr>
          <w:color w:val="000000" w:themeColor="text1"/>
          <w:highlight w:val="none"/>
          <w14:textFill>
            <w14:solidFill>
              <w14:schemeClr w14:val="tx1"/>
            </w14:solidFill>
          </w14:textFill>
        </w:rPr>
        <w:t>的断路器单元柜额定短路开断电流为25kA</w:t>
      </w:r>
      <w:r>
        <w:rPr>
          <w:rFonts w:hint="eastAsia"/>
          <w:color w:val="000000" w:themeColor="text1"/>
          <w:highlight w:val="none"/>
          <w14:textFill>
            <w14:solidFill>
              <w14:schemeClr w14:val="tx1"/>
            </w14:solidFill>
          </w14:textFill>
        </w:rPr>
        <w:t>或</w:t>
      </w:r>
      <w:r>
        <w:rPr>
          <w:color w:val="000000" w:themeColor="text1"/>
          <w:highlight w:val="none"/>
          <w14:textFill>
            <w14:solidFill>
              <w14:schemeClr w14:val="tx1"/>
            </w14:solidFill>
          </w14:textFill>
        </w:rPr>
        <w:t>31.5kA。</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绝缘气体年漏气率</w:t>
      </w:r>
    </w:p>
    <w:p>
      <w:pPr>
        <w:pStyle w:val="26"/>
        <w:ind w:firstLineChars="0"/>
        <w:rPr>
          <w:color w:val="000000" w:themeColor="text1"/>
          <w:highlight w:val="none"/>
          <w:lang w:bidi="en-US"/>
          <w14:textFill>
            <w14:solidFill>
              <w14:schemeClr w14:val="tx1"/>
            </w14:solidFill>
          </w14:textFill>
        </w:rPr>
      </w:pPr>
      <w:r>
        <w:rPr>
          <w:color w:val="000000" w:themeColor="text1"/>
          <w:highlight w:val="none"/>
          <w14:textFill>
            <w14:solidFill>
              <w14:schemeClr w14:val="tx1"/>
            </w14:solidFill>
          </w14:textFill>
        </w:rPr>
        <w:t>海上风电用高压开关柜绝缘气体年漏气率应</w:t>
      </w:r>
      <w:r>
        <w:rPr>
          <w:rFonts w:hint="eastAsia" w:hAnsi="宋体" w:eastAsia="宋体" w:cs="宋体"/>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0.01%。</w:t>
      </w:r>
    </w:p>
    <w:p>
      <w:pPr>
        <w:pStyle w:val="34"/>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设计和结构</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概述</w:t>
      </w:r>
    </w:p>
    <w:p>
      <w:pPr>
        <w:pStyle w:val="33"/>
        <w:numPr>
          <w:ilvl w:val="0"/>
          <w:numId w:val="0"/>
        </w:numPr>
        <w:spacing w:beforeLines="0" w:afterLines="0"/>
        <w:ind w:firstLine="420" w:firstLineChars="200"/>
        <w:outlineLvl w:val="9"/>
        <w:rPr>
          <w:rFonts w:ascii="宋体" w:eastAsia="宋体"/>
          <w:color w:val="000000" w:themeColor="text1"/>
          <w:szCs w:val="20"/>
          <w:highlight w:val="none"/>
          <w:lang w:bidi="en-US"/>
          <w14:textFill>
            <w14:solidFill>
              <w14:schemeClr w14:val="tx1"/>
            </w14:solidFill>
          </w14:textFill>
        </w:rPr>
      </w:pPr>
      <w:r>
        <w:rPr>
          <w:rFonts w:hint="eastAsia" w:ascii="宋体" w:eastAsia="宋体"/>
          <w:color w:val="000000" w:themeColor="text1"/>
          <w:szCs w:val="20"/>
          <w:highlight w:val="none"/>
          <w:lang w:bidi="en-US"/>
          <w14:textFill>
            <w14:solidFill>
              <w14:schemeClr w14:val="tx1"/>
            </w14:solidFill>
          </w14:textFill>
        </w:rPr>
        <w:t xml:space="preserve">应符合GB/T </w:t>
      </w:r>
      <w:r>
        <w:rPr>
          <w:rFonts w:ascii="宋体" w:eastAsia="宋体"/>
          <w:color w:val="000000" w:themeColor="text1"/>
          <w:szCs w:val="20"/>
          <w:highlight w:val="none"/>
          <w:lang w:bidi="en-US"/>
          <w14:textFill>
            <w14:solidFill>
              <w14:schemeClr w14:val="tx1"/>
            </w14:solidFill>
          </w14:textFill>
        </w:rPr>
        <w:t>3906</w:t>
      </w:r>
      <w:r>
        <w:rPr>
          <w:rFonts w:hint="eastAsia" w:ascii="Times New Roman" w:hAnsi="Times New Roman" w:cs="Times New Roman" w:eastAsiaTheme="minorEastAsia"/>
          <w:color w:val="000000" w:themeColor="text1"/>
          <w:highlight w:val="none"/>
          <w14:textFill>
            <w14:solidFill>
              <w14:schemeClr w14:val="tx1"/>
            </w14:solidFill>
          </w14:textFill>
        </w:rPr>
        <w:t>—</w:t>
      </w:r>
      <w:r>
        <w:rPr>
          <w:rFonts w:hint="eastAsia" w:ascii="宋体" w:eastAsia="宋体"/>
          <w:color w:val="000000" w:themeColor="text1"/>
          <w:szCs w:val="20"/>
          <w:highlight w:val="none"/>
          <w:lang w:bidi="en-US"/>
          <w14:textFill>
            <w14:solidFill>
              <w14:schemeClr w14:val="tx1"/>
            </w14:solidFill>
          </w14:textFill>
        </w:rPr>
        <w:t>20</w:t>
      </w:r>
      <w:r>
        <w:rPr>
          <w:rFonts w:ascii="宋体" w:eastAsia="宋体"/>
          <w:color w:val="000000" w:themeColor="text1"/>
          <w:szCs w:val="20"/>
          <w:highlight w:val="none"/>
          <w:lang w:bidi="en-US"/>
          <w14:textFill>
            <w14:solidFill>
              <w14:schemeClr w14:val="tx1"/>
            </w14:solidFill>
          </w14:textFill>
        </w:rPr>
        <w:t>20</w:t>
      </w:r>
      <w:r>
        <w:rPr>
          <w:rFonts w:hint="eastAsia" w:ascii="宋体" w:eastAsia="宋体"/>
          <w:color w:val="000000" w:themeColor="text1"/>
          <w:szCs w:val="20"/>
          <w:highlight w:val="none"/>
          <w:lang w:bidi="en-US"/>
          <w14:textFill>
            <w14:solidFill>
              <w14:schemeClr w14:val="tx1"/>
            </w14:solidFill>
          </w14:textFill>
        </w:rPr>
        <w:t>中</w:t>
      </w:r>
      <w:r>
        <w:rPr>
          <w:rFonts w:ascii="宋体" w:eastAsia="宋体"/>
          <w:color w:val="000000" w:themeColor="text1"/>
          <w:szCs w:val="20"/>
          <w:highlight w:val="none"/>
          <w:lang w:bidi="en-US"/>
          <w14:textFill>
            <w14:solidFill>
              <w14:schemeClr w14:val="tx1"/>
            </w14:solidFill>
          </w14:textFill>
        </w:rPr>
        <w:t>6</w:t>
      </w:r>
      <w:r>
        <w:rPr>
          <w:rFonts w:hint="eastAsia" w:ascii="宋体" w:eastAsia="宋体"/>
          <w:color w:val="000000" w:themeColor="text1"/>
          <w:szCs w:val="20"/>
          <w:highlight w:val="none"/>
          <w:lang w:bidi="en-US"/>
          <w14:textFill>
            <w14:solidFill>
              <w14:schemeClr w14:val="tx1"/>
            </w14:solidFill>
          </w14:textFill>
        </w:rPr>
        <w:t>.</w:t>
      </w:r>
      <w:r>
        <w:rPr>
          <w:rFonts w:ascii="宋体" w:eastAsia="宋体"/>
          <w:color w:val="000000" w:themeColor="text1"/>
          <w:szCs w:val="20"/>
          <w:highlight w:val="none"/>
          <w:lang w:bidi="en-US"/>
          <w14:textFill>
            <w14:solidFill>
              <w14:schemeClr w14:val="tx1"/>
            </w14:solidFill>
          </w14:textFill>
        </w:rPr>
        <w:t>1</w:t>
      </w:r>
      <w:r>
        <w:rPr>
          <w:rFonts w:hint="eastAsia" w:ascii="宋体" w:eastAsia="宋体"/>
          <w:color w:val="000000" w:themeColor="text1"/>
          <w:szCs w:val="20"/>
          <w:highlight w:val="none"/>
          <w:lang w:bidi="en-US"/>
          <w14:textFill>
            <w14:solidFill>
              <w14:schemeClr w14:val="tx1"/>
            </w14:solidFill>
          </w14:textFill>
        </w:rPr>
        <w:t>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对开关设备和控制设备中气体的要求</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应符合GB/T 11022</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2020中6.</w:t>
      </w:r>
      <w:r>
        <w:rPr>
          <w:color w:val="000000" w:themeColor="text1"/>
          <w:highlight w:val="none"/>
          <w14:textFill>
            <w14:solidFill>
              <w14:schemeClr w14:val="tx1"/>
            </w14:solidFill>
          </w14:textFill>
        </w:rPr>
        <w:t>2及</w:t>
      </w:r>
      <w:r>
        <w:rPr>
          <w:rFonts w:hint="eastAsia" w:eastAsia="宋体"/>
          <w:color w:val="000000" w:themeColor="text1"/>
          <w:szCs w:val="20"/>
          <w:highlight w:val="none"/>
          <w:lang w:bidi="en-US"/>
          <w14:textFill>
            <w14:solidFill>
              <w14:schemeClr w14:val="tx1"/>
            </w14:solidFill>
          </w14:textFill>
        </w:rPr>
        <w:t xml:space="preserve">GB/T </w:t>
      </w:r>
      <w:r>
        <w:rPr>
          <w:rFonts w:eastAsia="宋体"/>
          <w:color w:val="000000" w:themeColor="text1"/>
          <w:szCs w:val="20"/>
          <w:highlight w:val="none"/>
          <w:lang w:bidi="en-US"/>
          <w14:textFill>
            <w14:solidFill>
              <w14:schemeClr w14:val="tx1"/>
            </w14:solidFill>
          </w14:textFill>
        </w:rPr>
        <w:t>3906</w:t>
      </w:r>
      <w:r>
        <w:rPr>
          <w:rFonts w:hint="eastAsia" w:ascii="Times New Roman" w:hAnsi="Times New Roman" w:cs="Times New Roman"/>
          <w:color w:val="000000" w:themeColor="text1"/>
          <w:szCs w:val="21"/>
          <w:highlight w:val="none"/>
          <w14:textFill>
            <w14:solidFill>
              <w14:schemeClr w14:val="tx1"/>
            </w14:solidFill>
          </w14:textFill>
        </w:rPr>
        <w:t>—</w:t>
      </w:r>
      <w:r>
        <w:rPr>
          <w:rFonts w:hint="eastAsia" w:eastAsia="宋体"/>
          <w:color w:val="000000" w:themeColor="text1"/>
          <w:szCs w:val="20"/>
          <w:highlight w:val="none"/>
          <w:lang w:bidi="en-US"/>
          <w14:textFill>
            <w14:solidFill>
              <w14:schemeClr w14:val="tx1"/>
            </w14:solidFill>
          </w14:textFill>
        </w:rPr>
        <w:t>20</w:t>
      </w:r>
      <w:r>
        <w:rPr>
          <w:rFonts w:eastAsia="宋体"/>
          <w:color w:val="000000" w:themeColor="text1"/>
          <w:szCs w:val="20"/>
          <w:highlight w:val="none"/>
          <w:lang w:bidi="en-US"/>
          <w14:textFill>
            <w14:solidFill>
              <w14:schemeClr w14:val="tx1"/>
            </w14:solidFill>
          </w14:textFill>
        </w:rPr>
        <w:t>20</w:t>
      </w:r>
      <w:r>
        <w:rPr>
          <w:rFonts w:hint="eastAsia" w:eastAsia="宋体"/>
          <w:color w:val="000000" w:themeColor="text1"/>
          <w:szCs w:val="20"/>
          <w:highlight w:val="none"/>
          <w:lang w:bidi="en-US"/>
          <w14:textFill>
            <w14:solidFill>
              <w14:schemeClr w14:val="tx1"/>
            </w14:solidFill>
          </w14:textFill>
        </w:rPr>
        <w:t>中</w:t>
      </w:r>
      <w:r>
        <w:rPr>
          <w:rFonts w:eastAsia="宋体"/>
          <w:color w:val="000000" w:themeColor="text1"/>
          <w:szCs w:val="20"/>
          <w:highlight w:val="none"/>
          <w:lang w:bidi="en-US"/>
          <w14:textFill>
            <w14:solidFill>
              <w14:schemeClr w14:val="tx1"/>
            </w14:solidFill>
          </w14:textFill>
        </w:rPr>
        <w:t>6</w:t>
      </w:r>
      <w:r>
        <w:rPr>
          <w:rFonts w:hint="eastAsia" w:eastAsia="宋体"/>
          <w:color w:val="000000" w:themeColor="text1"/>
          <w:szCs w:val="20"/>
          <w:highlight w:val="none"/>
          <w:lang w:bidi="en-US"/>
          <w14:textFill>
            <w14:solidFill>
              <w14:schemeClr w14:val="tx1"/>
            </w14:solidFill>
          </w14:textFill>
        </w:rPr>
        <w:t>.</w:t>
      </w:r>
      <w:r>
        <w:rPr>
          <w:rFonts w:eastAsia="宋体"/>
          <w:color w:val="000000" w:themeColor="text1"/>
          <w:szCs w:val="20"/>
          <w:highlight w:val="none"/>
          <w:lang w:bidi="en-US"/>
          <w14:textFill>
            <w14:solidFill>
              <w14:schemeClr w14:val="tx1"/>
            </w14:solidFill>
          </w14:textFill>
        </w:rPr>
        <w:t>3</w:t>
      </w:r>
      <w:r>
        <w:rPr>
          <w:rFonts w:hint="eastAsia"/>
          <w:color w:val="000000" w:themeColor="text1"/>
          <w:highlight w:val="none"/>
          <w14:textFill>
            <w14:solidFill>
              <w14:schemeClr w14:val="tx1"/>
            </w14:solidFill>
          </w14:textFill>
        </w:rPr>
        <w:t>的规定</w:t>
      </w:r>
      <w:r>
        <w:rPr>
          <w:color w:val="000000" w:themeColor="text1"/>
          <w:highlight w:val="none"/>
          <w14:textFill>
            <w14:solidFill>
              <w14:schemeClr w14:val="tx1"/>
            </w14:solidFill>
          </w14:textFill>
        </w:rPr>
        <w:t>，并做如下补充：</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气室内气体的水分子含量不大于250ppm。</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对开关设备和控制设备中连接母线均采用固体绝缘包覆元件的要求</w:t>
      </w:r>
    </w:p>
    <w:p>
      <w:pPr>
        <w:pStyle w:val="33"/>
        <w:numPr>
          <w:ilvl w:val="0"/>
          <w:numId w:val="0"/>
        </w:numPr>
        <w:spacing w:beforeLines="0" w:afterLines="0"/>
        <w:ind w:firstLine="420" w:firstLineChars="200"/>
        <w:outlineLvl w:val="9"/>
        <w:rPr>
          <w:color w:val="000000" w:themeColor="text1"/>
          <w:highlight w:val="none"/>
          <w14:textFill>
            <w14:solidFill>
              <w14:schemeClr w14:val="tx1"/>
            </w14:solidFill>
          </w14:textFill>
        </w:rPr>
      </w:pPr>
      <w:r>
        <w:rPr>
          <w:rFonts w:hint="eastAsia" w:ascii="宋体" w:eastAsia="宋体"/>
          <w:color w:val="000000" w:themeColor="text1"/>
          <w:szCs w:val="20"/>
          <w:highlight w:val="none"/>
          <w:lang w:bidi="en-US"/>
          <w14:textFill>
            <w14:solidFill>
              <w14:schemeClr w14:val="tx1"/>
            </w14:solidFill>
          </w14:textFill>
        </w:rPr>
        <w:t xml:space="preserve">应符合GB/T </w:t>
      </w:r>
      <w:r>
        <w:rPr>
          <w:rFonts w:ascii="宋体" w:eastAsia="宋体"/>
          <w:color w:val="000000" w:themeColor="text1"/>
          <w:szCs w:val="20"/>
          <w:highlight w:val="none"/>
          <w:lang w:bidi="en-US"/>
          <w14:textFill>
            <w14:solidFill>
              <w14:schemeClr w14:val="tx1"/>
            </w14:solidFill>
          </w14:textFill>
        </w:rPr>
        <w:t>3906</w:t>
      </w:r>
      <w:r>
        <w:rPr>
          <w:rFonts w:hint="eastAsia" w:ascii="Times New Roman" w:hAnsi="Times New Roman" w:cs="Times New Roman" w:eastAsiaTheme="minorEastAsia"/>
          <w:color w:val="000000" w:themeColor="text1"/>
          <w:highlight w:val="none"/>
          <w14:textFill>
            <w14:solidFill>
              <w14:schemeClr w14:val="tx1"/>
            </w14:solidFill>
          </w14:textFill>
        </w:rPr>
        <w:t>—</w:t>
      </w:r>
      <w:r>
        <w:rPr>
          <w:rFonts w:hint="eastAsia" w:ascii="宋体" w:eastAsia="宋体"/>
          <w:color w:val="000000" w:themeColor="text1"/>
          <w:szCs w:val="20"/>
          <w:highlight w:val="none"/>
          <w:lang w:bidi="en-US"/>
          <w14:textFill>
            <w14:solidFill>
              <w14:schemeClr w14:val="tx1"/>
            </w14:solidFill>
          </w14:textFill>
        </w:rPr>
        <w:t>20</w:t>
      </w:r>
      <w:r>
        <w:rPr>
          <w:rFonts w:ascii="宋体" w:eastAsia="宋体"/>
          <w:color w:val="000000" w:themeColor="text1"/>
          <w:szCs w:val="20"/>
          <w:highlight w:val="none"/>
          <w:lang w:bidi="en-US"/>
          <w14:textFill>
            <w14:solidFill>
              <w14:schemeClr w14:val="tx1"/>
            </w14:solidFill>
          </w14:textFill>
        </w:rPr>
        <w:t>20</w:t>
      </w:r>
      <w:r>
        <w:rPr>
          <w:rFonts w:hint="eastAsia" w:ascii="宋体" w:eastAsia="宋体"/>
          <w:color w:val="000000" w:themeColor="text1"/>
          <w:szCs w:val="20"/>
          <w:highlight w:val="none"/>
          <w:lang w:bidi="en-US"/>
          <w14:textFill>
            <w14:solidFill>
              <w14:schemeClr w14:val="tx1"/>
            </w14:solidFill>
          </w14:textFill>
        </w:rPr>
        <w:t>中</w:t>
      </w:r>
      <w:r>
        <w:rPr>
          <w:rFonts w:ascii="宋体" w:eastAsia="宋体"/>
          <w:color w:val="000000" w:themeColor="text1"/>
          <w:szCs w:val="20"/>
          <w:highlight w:val="none"/>
          <w:lang w:bidi="en-US"/>
          <w14:textFill>
            <w14:solidFill>
              <w14:schemeClr w14:val="tx1"/>
            </w14:solidFill>
          </w14:textFill>
        </w:rPr>
        <w:t>6</w:t>
      </w:r>
      <w:r>
        <w:rPr>
          <w:rFonts w:hint="eastAsia" w:ascii="宋体" w:eastAsia="宋体"/>
          <w:color w:val="000000" w:themeColor="text1"/>
          <w:szCs w:val="20"/>
          <w:highlight w:val="none"/>
          <w:lang w:bidi="en-US"/>
          <w14:textFill>
            <w14:solidFill>
              <w14:schemeClr w14:val="tx1"/>
            </w14:solidFill>
          </w14:textFill>
        </w:rPr>
        <w:t>.</w:t>
      </w:r>
      <w:r>
        <w:rPr>
          <w:rFonts w:ascii="宋体" w:eastAsia="宋体"/>
          <w:color w:val="000000" w:themeColor="text1"/>
          <w:szCs w:val="20"/>
          <w:highlight w:val="none"/>
          <w:lang w:bidi="en-US"/>
          <w14:textFill>
            <w14:solidFill>
              <w14:schemeClr w14:val="tx1"/>
            </w14:solidFill>
          </w14:textFill>
        </w:rPr>
        <w:t>4</w:t>
      </w:r>
      <w:r>
        <w:rPr>
          <w:rFonts w:hint="eastAsia" w:ascii="宋体" w:eastAsia="宋体"/>
          <w:color w:val="000000" w:themeColor="text1"/>
          <w:szCs w:val="20"/>
          <w:highlight w:val="none"/>
          <w:lang w:bidi="en-US"/>
          <w14:textFill>
            <w14:solidFill>
              <w14:schemeClr w14:val="tx1"/>
            </w14:solidFill>
          </w14:textFill>
        </w:rPr>
        <w:t>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接地</w:t>
      </w:r>
    </w:p>
    <w:p>
      <w:pPr>
        <w:pStyle w:val="26"/>
        <w:rPr>
          <w:rFonts w:hAnsi="宋体" w:eastAsia="宋体" w:cs="宋体"/>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应符合GB/T 11022</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2020中6.</w:t>
      </w:r>
      <w:r>
        <w:rPr>
          <w:color w:val="000000" w:themeColor="text1"/>
          <w:highlight w:val="none"/>
          <w14:textFill>
            <w14:solidFill>
              <w14:schemeClr w14:val="tx1"/>
            </w14:solidFill>
          </w14:textFill>
        </w:rPr>
        <w:t>3及</w:t>
      </w:r>
      <w:r>
        <w:rPr>
          <w:rFonts w:hint="eastAsia" w:eastAsia="宋体"/>
          <w:color w:val="000000" w:themeColor="text1"/>
          <w:szCs w:val="20"/>
          <w:highlight w:val="none"/>
          <w:lang w:bidi="en-US"/>
          <w14:textFill>
            <w14:solidFill>
              <w14:schemeClr w14:val="tx1"/>
            </w14:solidFill>
          </w14:textFill>
        </w:rPr>
        <w:t xml:space="preserve">GB/T </w:t>
      </w:r>
      <w:r>
        <w:rPr>
          <w:rFonts w:eastAsia="宋体"/>
          <w:color w:val="000000" w:themeColor="text1"/>
          <w:szCs w:val="20"/>
          <w:highlight w:val="none"/>
          <w:lang w:bidi="en-US"/>
          <w14:textFill>
            <w14:solidFill>
              <w14:schemeClr w14:val="tx1"/>
            </w14:solidFill>
          </w14:textFill>
        </w:rPr>
        <w:t>3906</w:t>
      </w:r>
      <w:r>
        <w:rPr>
          <w:rFonts w:hint="eastAsia" w:ascii="Times New Roman" w:hAnsi="Times New Roman" w:cs="Times New Roman"/>
          <w:color w:val="000000" w:themeColor="text1"/>
          <w:szCs w:val="21"/>
          <w:highlight w:val="none"/>
          <w14:textFill>
            <w14:solidFill>
              <w14:schemeClr w14:val="tx1"/>
            </w14:solidFill>
          </w14:textFill>
        </w:rPr>
        <w:t>—</w:t>
      </w:r>
      <w:r>
        <w:rPr>
          <w:rFonts w:hint="eastAsia" w:eastAsia="宋体"/>
          <w:color w:val="000000" w:themeColor="text1"/>
          <w:szCs w:val="20"/>
          <w:highlight w:val="none"/>
          <w:lang w:bidi="en-US"/>
          <w14:textFill>
            <w14:solidFill>
              <w14:schemeClr w14:val="tx1"/>
            </w14:solidFill>
          </w14:textFill>
        </w:rPr>
        <w:t>20</w:t>
      </w:r>
      <w:r>
        <w:rPr>
          <w:rFonts w:eastAsia="宋体"/>
          <w:color w:val="000000" w:themeColor="text1"/>
          <w:szCs w:val="20"/>
          <w:highlight w:val="none"/>
          <w:lang w:bidi="en-US"/>
          <w14:textFill>
            <w14:solidFill>
              <w14:schemeClr w14:val="tx1"/>
            </w14:solidFill>
          </w14:textFill>
        </w:rPr>
        <w:t>20</w:t>
      </w:r>
      <w:r>
        <w:rPr>
          <w:rFonts w:hint="eastAsia" w:eastAsia="宋体"/>
          <w:color w:val="000000" w:themeColor="text1"/>
          <w:szCs w:val="20"/>
          <w:highlight w:val="none"/>
          <w:lang w:bidi="en-US"/>
          <w14:textFill>
            <w14:solidFill>
              <w14:schemeClr w14:val="tx1"/>
            </w14:solidFill>
          </w14:textFill>
        </w:rPr>
        <w:t>中</w:t>
      </w:r>
      <w:r>
        <w:rPr>
          <w:rFonts w:eastAsia="宋体"/>
          <w:color w:val="000000" w:themeColor="text1"/>
          <w:szCs w:val="20"/>
          <w:highlight w:val="none"/>
          <w:lang w:bidi="en-US"/>
          <w14:textFill>
            <w14:solidFill>
              <w14:schemeClr w14:val="tx1"/>
            </w14:solidFill>
          </w14:textFill>
        </w:rPr>
        <w:t>6</w:t>
      </w:r>
      <w:r>
        <w:rPr>
          <w:rFonts w:hint="eastAsia" w:eastAsia="宋体"/>
          <w:color w:val="000000" w:themeColor="text1"/>
          <w:szCs w:val="20"/>
          <w:highlight w:val="none"/>
          <w:lang w:bidi="en-US"/>
          <w14:textFill>
            <w14:solidFill>
              <w14:schemeClr w14:val="tx1"/>
            </w14:solidFill>
          </w14:textFill>
        </w:rPr>
        <w:t>.</w:t>
      </w:r>
      <w:r>
        <w:rPr>
          <w:rFonts w:eastAsia="宋体"/>
          <w:color w:val="000000" w:themeColor="text1"/>
          <w:szCs w:val="20"/>
          <w:highlight w:val="none"/>
          <w:lang w:bidi="en-US"/>
          <w14:textFill>
            <w14:solidFill>
              <w14:schemeClr w14:val="tx1"/>
            </w14:solidFill>
          </w14:textFill>
        </w:rPr>
        <w:t>5</w:t>
      </w:r>
      <w:r>
        <w:rPr>
          <w:rFonts w:hint="eastAsia"/>
          <w:color w:val="000000" w:themeColor="text1"/>
          <w:highlight w:val="none"/>
          <w14:textFill>
            <w14:solidFill>
              <w14:schemeClr w14:val="tx1"/>
            </w14:solidFill>
          </w14:textFill>
        </w:rPr>
        <w:t>的规定</w:t>
      </w:r>
      <w:r>
        <w:rPr>
          <w:color w:val="000000" w:themeColor="text1"/>
          <w:highlight w:val="none"/>
          <w14:textFill>
            <w14:solidFill>
              <w14:schemeClr w14:val="tx1"/>
            </w14:solidFill>
          </w14:textFill>
        </w:rPr>
        <w:t>，</w:t>
      </w:r>
      <w:r>
        <w:rPr>
          <w:rFonts w:hint="eastAsia" w:hAnsi="宋体" w:eastAsia="宋体" w:cs="宋体"/>
          <w:color w:val="000000" w:themeColor="text1"/>
          <w:highlight w:val="none"/>
          <w14:textFill>
            <w14:solidFill>
              <w14:schemeClr w14:val="tx1"/>
            </w14:solidFill>
          </w14:textFill>
        </w:rPr>
        <w:t xml:space="preserve">并做如下补充： </w:t>
      </w:r>
    </w:p>
    <w:p>
      <w:pPr>
        <w:pStyle w:val="26"/>
        <w:rPr>
          <w:rFonts w:hAnsi="宋体" w:eastAsia="宋体" w:cs="宋体"/>
          <w:color w:val="000000" w:themeColor="text1"/>
          <w:highlight w:val="none"/>
          <w14:textFill>
            <w14:solidFill>
              <w14:schemeClr w14:val="tx1"/>
            </w14:solidFill>
          </w14:textFill>
        </w:rPr>
      </w:pPr>
      <w:r>
        <w:rPr>
          <w:rFonts w:hAnsi="宋体" w:eastAsia="宋体" w:cs="宋体"/>
          <w:color w:val="000000" w:themeColor="text1"/>
          <w:highlight w:val="none"/>
          <w14:textFill>
            <w14:solidFill>
              <w14:schemeClr w14:val="tx1"/>
            </w14:solidFill>
          </w14:textFill>
        </w:rPr>
        <w:t>海上风电用高压开关柜</w:t>
      </w:r>
      <w:r>
        <w:rPr>
          <w:rFonts w:hint="eastAsia" w:hAnsi="宋体" w:eastAsia="宋体" w:cs="宋体"/>
          <w:color w:val="000000" w:themeColor="text1"/>
          <w:highlight w:val="none"/>
          <w14:textFill>
            <w14:solidFill>
              <w14:schemeClr w14:val="tx1"/>
            </w14:solidFill>
          </w14:textFill>
        </w:rPr>
        <w:t>的充气隔室内接地回路应采用不小于M12的</w:t>
      </w:r>
      <w:r>
        <w:rPr>
          <w:rFonts w:hAnsi="宋体" w:eastAsia="宋体" w:cs="宋体"/>
          <w:color w:val="000000" w:themeColor="text1"/>
          <w:highlight w:val="none"/>
          <w14:textFill>
            <w14:solidFill>
              <w14:schemeClr w14:val="tx1"/>
            </w14:solidFill>
          </w14:textFill>
        </w:rPr>
        <w:t>不锈钢</w:t>
      </w:r>
      <w:r>
        <w:rPr>
          <w:rFonts w:hint="eastAsia" w:hAnsi="宋体" w:eastAsia="宋体" w:cs="宋体"/>
          <w:color w:val="000000" w:themeColor="text1"/>
          <w:highlight w:val="none"/>
          <w14:textFill>
            <w14:solidFill>
              <w14:schemeClr w14:val="tx1"/>
            </w14:solidFill>
          </w14:textFill>
        </w:rPr>
        <w:t>螺栓通过接地铜排引至设备主接地导体，主接地导体应预留M12接地螺栓供外部接地用，并且应有明确的接地符号。</w:t>
      </w:r>
    </w:p>
    <w:p>
      <w:pPr>
        <w:pStyle w:val="26"/>
        <w:rPr>
          <w:rFonts w:hAnsi="宋体" w:eastAsia="宋体" w:cs="宋体"/>
          <w:color w:val="000000" w:themeColor="text1"/>
          <w:highlight w:val="none"/>
          <w14:textFill>
            <w14:solidFill>
              <w14:schemeClr w14:val="tx1"/>
            </w14:solidFill>
          </w14:textFill>
        </w:rPr>
      </w:pPr>
      <w:r>
        <w:rPr>
          <w:rFonts w:hAnsi="宋体" w:eastAsia="宋体" w:cs="宋体"/>
          <w:color w:val="000000" w:themeColor="text1"/>
          <w:highlight w:val="none"/>
          <w14:textFill>
            <w14:solidFill>
              <w14:schemeClr w14:val="tx1"/>
            </w14:solidFill>
          </w14:textFill>
        </w:rPr>
        <w:t>接地</w:t>
      </w:r>
      <w:r>
        <w:rPr>
          <w:rFonts w:hint="eastAsia" w:hAnsi="宋体" w:eastAsia="宋体" w:cs="宋体"/>
          <w:color w:val="000000" w:themeColor="text1"/>
          <w:highlight w:val="none"/>
          <w14:textFill>
            <w14:solidFill>
              <w14:schemeClr w14:val="tx1"/>
            </w14:solidFill>
          </w14:textFill>
        </w:rPr>
        <w:t>铜排应满足C</w:t>
      </w:r>
      <w:r>
        <w:rPr>
          <w:rFonts w:hAnsi="宋体" w:eastAsia="宋体" w:cs="宋体"/>
          <w:color w:val="000000" w:themeColor="text1"/>
          <w:highlight w:val="none"/>
          <w14:textFill>
            <w14:solidFill>
              <w14:schemeClr w14:val="tx1"/>
            </w14:solidFill>
          </w14:textFill>
        </w:rPr>
        <w:t>4</w:t>
      </w:r>
      <w:r>
        <w:rPr>
          <w:rFonts w:hint="eastAsia" w:hAnsi="宋体" w:eastAsia="宋体" w:cs="宋体"/>
          <w:color w:val="000000" w:themeColor="text1"/>
          <w:highlight w:val="none"/>
          <w14:textFill>
            <w14:solidFill>
              <w14:schemeClr w14:val="tx1"/>
            </w14:solidFill>
          </w14:textFill>
        </w:rPr>
        <w:t>及以上防腐等级要求</w:t>
      </w:r>
      <w:r>
        <w:rPr>
          <w:rFonts w:hAnsi="宋体" w:eastAsia="宋体" w:cs="宋体"/>
          <w:color w:val="000000" w:themeColor="text1"/>
          <w:highlight w:val="none"/>
          <w14:textFill>
            <w14:solidFill>
              <w14:schemeClr w14:val="tx1"/>
            </w14:solidFill>
          </w14:textFill>
        </w:rPr>
        <w:t>。</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辅助和控制设备</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应符合GB/T 11022</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2020中6.</w:t>
      </w:r>
      <w:r>
        <w:rPr>
          <w:color w:val="000000" w:themeColor="text1"/>
          <w:highlight w:val="none"/>
          <w14:textFill>
            <w14:solidFill>
              <w14:schemeClr w14:val="tx1"/>
            </w14:solidFill>
          </w14:textFill>
        </w:rPr>
        <w:t>4</w:t>
      </w:r>
      <w:r>
        <w:rPr>
          <w:rFonts w:hint="eastAsia"/>
          <w:color w:val="000000" w:themeColor="text1"/>
          <w:highlight w:val="none"/>
          <w14:textFill>
            <w14:solidFill>
              <w14:schemeClr w14:val="tx1"/>
            </w14:solidFill>
          </w14:textFill>
        </w:rPr>
        <w:t>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动力操作</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应符合GB/T 11022</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2020中6.5的规定。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储能操作</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应符合GB/T 11022</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2020中6.6的规定。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不依赖人力的操作</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应符合GB/T 11022</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2020中6.7的规定。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脱扣器的操作</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应符合GB/T 11022</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2020中6.9的规定。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低压力闭锁、高压力闭锁和监视装置</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应符合GB/T 11022</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2020中6.10的规定。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联锁装置</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应符合GB/T 11022</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2020中6.12</w:t>
      </w:r>
      <w:r>
        <w:rPr>
          <w:color w:val="000000" w:themeColor="text1"/>
          <w:highlight w:val="none"/>
          <w14:textFill>
            <w14:solidFill>
              <w14:schemeClr w14:val="tx1"/>
            </w14:solidFill>
          </w14:textFill>
        </w:rPr>
        <w:t>及</w:t>
      </w:r>
      <w:r>
        <w:rPr>
          <w:rFonts w:hint="eastAsia"/>
          <w:color w:val="000000" w:themeColor="text1"/>
          <w:highlight w:val="none"/>
          <w14:textFill>
            <w14:solidFill>
              <w14:schemeClr w14:val="tx1"/>
            </w14:solidFill>
          </w14:textFill>
        </w:rPr>
        <w:t xml:space="preserve">GB/T </w:t>
      </w:r>
      <w:r>
        <w:rPr>
          <w:color w:val="000000" w:themeColor="text1"/>
          <w:highlight w:val="none"/>
          <w14:textFill>
            <w14:solidFill>
              <w14:schemeClr w14:val="tx1"/>
            </w14:solidFill>
          </w14:textFill>
        </w:rPr>
        <w:t>3906—</w:t>
      </w:r>
      <w:r>
        <w:rPr>
          <w:rFonts w:hint="eastAsia"/>
          <w:color w:val="000000" w:themeColor="text1"/>
          <w:highlight w:val="none"/>
          <w14:textFill>
            <w14:solidFill>
              <w14:schemeClr w14:val="tx1"/>
            </w14:solidFill>
          </w14:textFill>
        </w:rPr>
        <w:t>2020中6.1</w:t>
      </w:r>
      <w:r>
        <w:rPr>
          <w:color w:val="000000" w:themeColor="text1"/>
          <w:highlight w:val="none"/>
          <w14:textFill>
            <w14:solidFill>
              <w14:schemeClr w14:val="tx1"/>
            </w14:solidFill>
          </w14:textFill>
        </w:rPr>
        <w:t>3</w:t>
      </w:r>
      <w:r>
        <w:rPr>
          <w:rFonts w:hint="eastAsia"/>
          <w:color w:val="000000" w:themeColor="text1"/>
          <w:highlight w:val="none"/>
          <w14:textFill>
            <w14:solidFill>
              <w14:schemeClr w14:val="tx1"/>
            </w14:solidFill>
          </w14:textFill>
        </w:rPr>
        <w:t>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位置指示</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应符合GB/T 11022</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2020中6.1</w:t>
      </w:r>
      <w:r>
        <w:rPr>
          <w:color w:val="000000" w:themeColor="text1"/>
          <w:highlight w:val="none"/>
          <w14:textFill>
            <w14:solidFill>
              <w14:schemeClr w14:val="tx1"/>
            </w14:solidFill>
          </w14:textFill>
        </w:rPr>
        <w:t>3</w:t>
      </w:r>
      <w:r>
        <w:rPr>
          <w:rFonts w:hint="eastAsia"/>
          <w:color w:val="000000" w:themeColor="text1"/>
          <w:highlight w:val="none"/>
          <w14:textFill>
            <w14:solidFill>
              <w14:schemeClr w14:val="tx1"/>
            </w14:solidFill>
          </w14:textFill>
        </w:rPr>
        <w:t>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防护等级</w:t>
      </w:r>
    </w:p>
    <w:p>
      <w:pPr>
        <w:pStyle w:val="33"/>
        <w:numPr>
          <w:ilvl w:val="0"/>
          <w:numId w:val="0"/>
        </w:numPr>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xml:space="preserve">6.2.13.1  </w:t>
      </w:r>
      <w:r>
        <w:rPr>
          <w:color w:val="000000" w:themeColor="text1"/>
          <w:highlight w:val="none"/>
          <w14:textFill>
            <w14:solidFill>
              <w14:schemeClr w14:val="tx1"/>
            </w14:solidFill>
          </w14:textFill>
        </w:rPr>
        <w:t>概述</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应符合GB/T 11022</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2020中6.1</w:t>
      </w:r>
      <w:r>
        <w:rPr>
          <w:color w:val="000000" w:themeColor="text1"/>
          <w:highlight w:val="none"/>
          <w14:textFill>
            <w14:solidFill>
              <w14:schemeClr w14:val="tx1"/>
            </w14:solidFill>
          </w14:textFill>
        </w:rPr>
        <w:t>4</w:t>
      </w:r>
      <w:r>
        <w:rPr>
          <w:rFonts w:hint="eastAsia"/>
          <w:color w:val="000000" w:themeColor="text1"/>
          <w:highlight w:val="none"/>
          <w14:textFill>
            <w14:solidFill>
              <w14:schemeClr w14:val="tx1"/>
            </w14:solidFill>
          </w14:textFill>
        </w:rPr>
        <w:t>的规定</w:t>
      </w:r>
      <w:r>
        <w:rPr>
          <w:color w:val="000000" w:themeColor="text1"/>
          <w:highlight w:val="none"/>
          <w14:textFill>
            <w14:solidFill>
              <w14:schemeClr w14:val="tx1"/>
            </w14:solidFill>
          </w14:textFill>
        </w:rPr>
        <w:t>。</w:t>
      </w:r>
    </w:p>
    <w:p>
      <w:pPr>
        <w:pStyle w:val="33"/>
        <w:numPr>
          <w:ilvl w:val="0"/>
          <w:numId w:val="0"/>
        </w:numPr>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xml:space="preserve">6.2.13.2  </w:t>
      </w:r>
      <w:r>
        <w:rPr>
          <w:color w:val="000000" w:themeColor="text1"/>
          <w:highlight w:val="none"/>
          <w14:textFill>
            <w14:solidFill>
              <w14:schemeClr w14:val="tx1"/>
            </w14:solidFill>
          </w14:textFill>
        </w:rPr>
        <w:t>防止水侵入的防护等级（IP代码）</w:t>
      </w:r>
    </w:p>
    <w:p>
      <w:pPr>
        <w:pStyle w:val="33"/>
        <w:numPr>
          <w:ilvl w:val="0"/>
          <w:numId w:val="0"/>
        </w:numPr>
        <w:spacing w:beforeLines="0" w:afterLines="0"/>
        <w:ind w:firstLine="420" w:firstLineChars="200"/>
        <w:outlineLvl w:val="9"/>
        <w:rPr>
          <w:rFonts w:ascii="宋体" w:eastAsia="宋体"/>
          <w:color w:val="000000" w:themeColor="text1"/>
          <w:szCs w:val="20"/>
          <w:highlight w:val="none"/>
          <w:lang w:bidi="en-US"/>
          <w14:textFill>
            <w14:solidFill>
              <w14:schemeClr w14:val="tx1"/>
            </w14:solidFill>
          </w14:textFill>
        </w:rPr>
      </w:pPr>
      <w:r>
        <w:rPr>
          <w:rFonts w:ascii="宋体" w:eastAsia="宋体"/>
          <w:color w:val="000000" w:themeColor="text1"/>
          <w:szCs w:val="20"/>
          <w:highlight w:val="none"/>
          <w:lang w:bidi="en-US"/>
          <w14:textFill>
            <w14:solidFill>
              <w14:schemeClr w14:val="tx1"/>
            </w14:solidFill>
          </w14:textFill>
        </w:rPr>
        <w:t>海上风电用高压开关柜防止水侵入的防护等级应符合表2的规定。</w:t>
      </w:r>
    </w:p>
    <w:p>
      <w:pPr>
        <w:pStyle w:val="35"/>
        <w:spacing w:before="156" w:after="156"/>
        <w:jc w:val="both"/>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防止水侵入的防护等级</w:t>
      </w:r>
    </w:p>
    <w:tbl>
      <w:tblPr>
        <w:tblStyle w:val="13"/>
        <w:tblW w:w="4995" w:type="pct"/>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28" w:type="dxa"/>
          <w:bottom w:w="0" w:type="dxa"/>
          <w:right w:w="28" w:type="dxa"/>
        </w:tblCellMar>
      </w:tblPr>
      <w:tblGrid>
        <w:gridCol w:w="1354"/>
        <w:gridCol w:w="3671"/>
        <w:gridCol w:w="4377"/>
      </w:tblGrid>
      <w:tr>
        <w:trPr>
          <w:trHeight w:val="577" w:hRule="atLeast"/>
        </w:trPr>
        <w:tc>
          <w:tcPr>
            <w:tcW w:w="720" w:type="pct"/>
            <w:vMerge w:val="restart"/>
            <w:tcBorders>
              <w:top w:val="single" w:color="auto" w:sz="8" w:space="0"/>
              <w:bottom w:val="single" w:color="auto" w:sz="8" w:space="0"/>
            </w:tcBorders>
            <w:vAlign w:val="center"/>
          </w:tcPr>
          <w:p>
            <w:pPr>
              <w:pStyle w:val="26"/>
              <w:snapToGrid w:val="0"/>
              <w:ind w:firstLine="0" w:firstLineChars="0"/>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hint="eastAsia" w:asciiTheme="minorEastAsia" w:hAnsiTheme="minorEastAsia" w:cstheme="minorEastAsia"/>
                <w:color w:val="000000" w:themeColor="text1"/>
                <w:sz w:val="18"/>
                <w:szCs w:val="18"/>
                <w:highlight w:val="none"/>
                <w14:textFill>
                  <w14:solidFill>
                    <w14:schemeClr w14:val="tx1"/>
                  </w14:solidFill>
                </w14:textFill>
              </w:rPr>
              <w:t>序号</w:t>
            </w:r>
          </w:p>
        </w:tc>
        <w:tc>
          <w:tcPr>
            <w:tcW w:w="1952" w:type="pct"/>
            <w:vMerge w:val="restart"/>
            <w:tcBorders>
              <w:top w:val="single" w:color="auto" w:sz="8" w:space="0"/>
              <w:bottom w:val="single" w:color="auto" w:sz="8" w:space="0"/>
            </w:tcBorders>
            <w:vAlign w:val="center"/>
          </w:tcPr>
          <w:p>
            <w:pPr>
              <w:pStyle w:val="34"/>
              <w:numPr>
                <w:ilvl w:val="0"/>
                <w:numId w:val="0"/>
              </w:numPr>
              <w:spacing w:beforeLines="0" w:afterLines="0"/>
              <w:ind w:firstLine="1620" w:firstLineChars="900"/>
              <w:jc w:val="both"/>
              <w:rPr>
                <w:rFonts w:asciiTheme="minorEastAsia" w:hAnsiTheme="minorEastAsia" w:eastAsiaTheme="minorEastAsia" w:cstheme="minorEastAsia"/>
                <w:color w:val="000000" w:themeColor="text1"/>
                <w:sz w:val="18"/>
                <w:szCs w:val="18"/>
                <w:highlight w:val="none"/>
                <w14:textFill>
                  <w14:solidFill>
                    <w14:schemeClr w14:val="tx1"/>
                  </w14:solidFill>
                </w14:textFill>
              </w:rPr>
            </w:pPr>
            <w:r>
              <w:rPr>
                <w:rFonts w:hint="eastAsia" w:asciiTheme="minorEastAsia" w:hAnsiTheme="minorEastAsia" w:eastAsiaTheme="minorEastAsia" w:cstheme="minorEastAsia"/>
                <w:color w:val="000000" w:themeColor="text1"/>
                <w:sz w:val="18"/>
                <w:szCs w:val="18"/>
                <w:highlight w:val="none"/>
                <w14:textFill>
                  <w14:solidFill>
                    <w14:schemeClr w14:val="tx1"/>
                  </w14:solidFill>
                </w14:textFill>
              </w:rPr>
              <w:t>项目</w:t>
            </w:r>
          </w:p>
        </w:tc>
        <w:tc>
          <w:tcPr>
            <w:tcW w:w="2327" w:type="pct"/>
            <w:vMerge w:val="restart"/>
            <w:tcBorders>
              <w:top w:val="single" w:color="auto" w:sz="8" w:space="0"/>
              <w:bottom w:val="single" w:color="auto" w:sz="8" w:space="0"/>
            </w:tcBorders>
            <w:vAlign w:val="center"/>
          </w:tcPr>
          <w:p>
            <w:pPr>
              <w:pStyle w:val="34"/>
              <w:numPr>
                <w:ilvl w:val="0"/>
                <w:numId w:val="0"/>
              </w:numPr>
              <w:spacing w:beforeLines="0" w:afterLines="0"/>
              <w:jc w:val="center"/>
              <w:rPr>
                <w:rFonts w:asciiTheme="minorEastAsia" w:hAnsiTheme="minorEastAsia" w:eastAsiaTheme="minorEastAsia" w:cstheme="minorEastAsia"/>
                <w:color w:val="000000" w:themeColor="text1"/>
                <w:sz w:val="18"/>
                <w:szCs w:val="18"/>
                <w:highlight w:val="none"/>
                <w14:textFill>
                  <w14:solidFill>
                    <w14:schemeClr w14:val="tx1"/>
                  </w14:solidFill>
                </w14:textFill>
              </w:rPr>
            </w:pPr>
            <w:r>
              <w:rPr>
                <w:rFonts w:asciiTheme="minorEastAsia" w:hAnsiTheme="minorEastAsia" w:eastAsiaTheme="minorEastAsia" w:cstheme="minorEastAsia"/>
                <w:color w:val="000000" w:themeColor="text1"/>
                <w:sz w:val="18"/>
                <w:szCs w:val="18"/>
                <w:highlight w:val="none"/>
                <w14:textFill>
                  <w14:solidFill>
                    <w14:schemeClr w14:val="tx1"/>
                  </w14:solidFill>
                </w14:textFill>
              </w:rPr>
              <w:t>防护等级</w:t>
            </w:r>
          </w:p>
        </w:tc>
      </w:tr>
      <w:tr>
        <w:trPr>
          <w:trHeight w:val="312" w:hRule="atLeast"/>
        </w:trPr>
        <w:tc>
          <w:tcPr>
            <w:tcW w:w="720" w:type="pct"/>
            <w:vMerge w:val="continue"/>
            <w:tcBorders>
              <w:top w:val="single" w:color="auto" w:sz="4" w:space="0"/>
              <w:bottom w:val="single" w:color="auto" w:sz="8" w:space="0"/>
            </w:tcBorders>
            <w:vAlign w:val="center"/>
          </w:tcPr>
          <w:p>
            <w:pPr>
              <w:pStyle w:val="34"/>
              <w:numPr>
                <w:ilvl w:val="0"/>
                <w:numId w:val="0"/>
              </w:numPr>
              <w:spacing w:beforeLines="0" w:afterLines="0"/>
              <w:ind w:firstLine="1350" w:firstLineChars="750"/>
              <w:jc w:val="center"/>
              <w:rPr>
                <w:rFonts w:asciiTheme="minorEastAsia" w:hAnsiTheme="minorEastAsia" w:eastAsiaTheme="minorEastAsia" w:cstheme="minorEastAsia"/>
                <w:color w:val="000000" w:themeColor="text1"/>
                <w:sz w:val="18"/>
                <w:szCs w:val="18"/>
                <w:highlight w:val="none"/>
                <w14:textFill>
                  <w14:solidFill>
                    <w14:schemeClr w14:val="tx1"/>
                  </w14:solidFill>
                </w14:textFill>
              </w:rPr>
            </w:pPr>
          </w:p>
        </w:tc>
        <w:tc>
          <w:tcPr>
            <w:tcW w:w="1952" w:type="pct"/>
            <w:vMerge w:val="continue"/>
            <w:tcBorders>
              <w:top w:val="single" w:color="auto" w:sz="4" w:space="0"/>
              <w:bottom w:val="single" w:color="auto" w:sz="8" w:space="0"/>
            </w:tcBorders>
            <w:vAlign w:val="center"/>
          </w:tcPr>
          <w:p>
            <w:pPr>
              <w:pStyle w:val="34"/>
              <w:numPr>
                <w:ilvl w:val="0"/>
                <w:numId w:val="0"/>
              </w:numPr>
              <w:spacing w:beforeLines="0" w:afterLines="0"/>
              <w:ind w:firstLine="1350" w:firstLineChars="750"/>
              <w:jc w:val="center"/>
              <w:rPr>
                <w:rFonts w:asciiTheme="minorEastAsia" w:hAnsiTheme="minorEastAsia" w:eastAsiaTheme="minorEastAsia" w:cstheme="minorEastAsia"/>
                <w:color w:val="000000" w:themeColor="text1"/>
                <w:sz w:val="18"/>
                <w:szCs w:val="18"/>
                <w:highlight w:val="none"/>
                <w14:textFill>
                  <w14:solidFill>
                    <w14:schemeClr w14:val="tx1"/>
                  </w14:solidFill>
                </w14:textFill>
              </w:rPr>
            </w:pPr>
          </w:p>
        </w:tc>
        <w:tc>
          <w:tcPr>
            <w:tcW w:w="2327" w:type="pct"/>
            <w:vMerge w:val="continue"/>
            <w:tcBorders>
              <w:top w:val="single" w:color="auto" w:sz="4" w:space="0"/>
              <w:bottom w:val="single" w:color="auto" w:sz="8" w:space="0"/>
            </w:tcBorders>
            <w:vAlign w:val="center"/>
          </w:tcPr>
          <w:p>
            <w:pPr>
              <w:pStyle w:val="34"/>
              <w:numPr>
                <w:ilvl w:val="0"/>
                <w:numId w:val="0"/>
              </w:numPr>
              <w:spacing w:beforeLines="0" w:afterLines="0"/>
              <w:ind w:firstLine="1350" w:firstLineChars="750"/>
              <w:jc w:val="center"/>
              <w:rPr>
                <w:rFonts w:asciiTheme="minorEastAsia" w:hAnsiTheme="minorEastAsia" w:eastAsiaTheme="minorEastAsia" w:cstheme="minorEastAsia"/>
                <w:color w:val="000000" w:themeColor="text1"/>
                <w:sz w:val="18"/>
                <w:szCs w:val="18"/>
                <w:highlight w:val="none"/>
                <w14:textFill>
                  <w14:solidFill>
                    <w14:schemeClr w14:val="tx1"/>
                  </w14:solidFill>
                </w14:textFill>
              </w:rPr>
            </w:pPr>
          </w:p>
        </w:tc>
      </w:tr>
      <w:tr>
        <w:trPr>
          <w:trHeight w:val="484" w:hRule="atLeast"/>
        </w:trPr>
        <w:tc>
          <w:tcPr>
            <w:tcW w:w="720" w:type="pct"/>
            <w:tcBorders>
              <w:top w:val="single" w:color="auto" w:sz="8" w:space="0"/>
            </w:tcBorders>
            <w:vAlign w:val="center"/>
          </w:tcPr>
          <w:p>
            <w:pPr>
              <w:pStyle w:val="26"/>
              <w:snapToGrid w:val="0"/>
              <w:ind w:firstLine="0" w:firstLineChars="0"/>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asciiTheme="minorEastAsia" w:hAnsiTheme="minorEastAsia" w:cstheme="minorEastAsia"/>
                <w:color w:val="000000" w:themeColor="text1"/>
                <w:sz w:val="18"/>
                <w:szCs w:val="18"/>
                <w:highlight w:val="none"/>
                <w14:textFill>
                  <w14:solidFill>
                    <w14:schemeClr w14:val="tx1"/>
                  </w14:solidFill>
                </w14:textFill>
              </w:rPr>
              <w:t>1</w:t>
            </w:r>
          </w:p>
        </w:tc>
        <w:tc>
          <w:tcPr>
            <w:tcW w:w="1952" w:type="pct"/>
            <w:tcBorders>
              <w:top w:val="single" w:color="auto" w:sz="8" w:space="0"/>
            </w:tcBorders>
            <w:vAlign w:val="center"/>
          </w:tcPr>
          <w:p>
            <w:pPr>
              <w:pStyle w:val="10"/>
              <w:widowControl/>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asciiTheme="minorEastAsia" w:hAnsiTheme="minorEastAsia" w:cstheme="minorEastAsia"/>
                <w:color w:val="000000" w:themeColor="text1"/>
                <w:sz w:val="18"/>
                <w:szCs w:val="18"/>
                <w:highlight w:val="none"/>
                <w14:textFill>
                  <w14:solidFill>
                    <w14:schemeClr w14:val="tx1"/>
                  </w14:solidFill>
                </w14:textFill>
              </w:rPr>
              <w:t>气箱</w:t>
            </w:r>
          </w:p>
        </w:tc>
        <w:tc>
          <w:tcPr>
            <w:tcW w:w="2327" w:type="pct"/>
            <w:tcBorders>
              <w:top w:val="single" w:color="auto" w:sz="8" w:space="0"/>
            </w:tcBorders>
            <w:vAlign w:val="center"/>
          </w:tcPr>
          <w:p>
            <w:pPr>
              <w:pStyle w:val="34"/>
              <w:numPr>
                <w:ilvl w:val="0"/>
                <w:numId w:val="0"/>
              </w:numPr>
              <w:spacing w:beforeLines="0" w:afterLines="0"/>
              <w:jc w:val="center"/>
              <w:rPr>
                <w:rFonts w:asciiTheme="minorEastAsia" w:hAnsiTheme="minorEastAsia" w:eastAsiaTheme="minorEastAsia" w:cstheme="minorEastAsia"/>
                <w:color w:val="000000" w:themeColor="text1"/>
                <w:sz w:val="18"/>
                <w:szCs w:val="18"/>
                <w:highlight w:val="none"/>
                <w14:textFill>
                  <w14:solidFill>
                    <w14:schemeClr w14:val="tx1"/>
                  </w14:solidFill>
                </w14:textFill>
              </w:rPr>
            </w:pPr>
            <w:r>
              <w:rPr>
                <w:rFonts w:hint="eastAsia" w:asciiTheme="minorEastAsia" w:hAnsiTheme="minorEastAsia" w:eastAsiaTheme="minorEastAsia" w:cstheme="minorEastAsia"/>
                <w:color w:val="000000" w:themeColor="text1"/>
                <w:sz w:val="18"/>
                <w:szCs w:val="18"/>
                <w:highlight w:val="none"/>
                <w14:textFill>
                  <w14:solidFill>
                    <w14:schemeClr w14:val="tx1"/>
                  </w14:solidFill>
                </w14:textFill>
              </w:rPr>
              <w:t>≧IP67</w:t>
            </w:r>
          </w:p>
        </w:tc>
      </w:tr>
    </w:tbl>
    <w:p>
      <w:pPr>
        <w:pStyle w:val="35"/>
        <w:numPr>
          <w:ilvl w:val="0"/>
          <w:numId w:val="0"/>
        </w:numPr>
        <w:tabs>
          <w:tab w:val="clear" w:pos="360"/>
        </w:tabs>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表</w:t>
      </w:r>
      <w:r>
        <w:rPr>
          <w:rFonts w:hint="eastAsia"/>
          <w:color w:val="000000" w:themeColor="text1"/>
          <w:highlight w:val="none"/>
          <w14:textFill>
            <w14:solidFill>
              <w14:schemeClr w14:val="tx1"/>
            </w14:solidFill>
          </w14:textFill>
        </w:rPr>
        <w:t>2</w:t>
      </w:r>
      <w:r>
        <w:rPr>
          <w:color w:val="000000" w:themeColor="text1"/>
          <w:highlight w:val="none"/>
          <w14:textFill>
            <w14:solidFill>
              <w14:schemeClr w14:val="tx1"/>
            </w14:solidFill>
          </w14:textFill>
        </w:rPr>
        <w:t xml:space="preserve">  （续）</w:t>
      </w:r>
    </w:p>
    <w:tbl>
      <w:tblPr>
        <w:tblStyle w:val="13"/>
        <w:tblW w:w="4995" w:type="pct"/>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28" w:type="dxa"/>
          <w:bottom w:w="0" w:type="dxa"/>
          <w:right w:w="28" w:type="dxa"/>
        </w:tblCellMar>
      </w:tblPr>
      <w:tblGrid>
        <w:gridCol w:w="1354"/>
        <w:gridCol w:w="3671"/>
        <w:gridCol w:w="4377"/>
      </w:tblGrid>
      <w:tr>
        <w:trPr>
          <w:trHeight w:val="721" w:hRule="atLeast"/>
        </w:trPr>
        <w:tc>
          <w:tcPr>
            <w:tcW w:w="720" w:type="pct"/>
            <w:tcBorders>
              <w:top w:val="single" w:color="auto" w:sz="8" w:space="0"/>
              <w:bottom w:val="single" w:color="auto" w:sz="8" w:space="0"/>
            </w:tcBorders>
            <w:vAlign w:val="center"/>
          </w:tcPr>
          <w:p>
            <w:pPr>
              <w:pStyle w:val="26"/>
              <w:snapToGrid w:val="0"/>
              <w:ind w:firstLine="0" w:firstLineChars="0"/>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hint="eastAsia" w:asciiTheme="minorEastAsia" w:hAnsiTheme="minorEastAsia" w:cstheme="minorEastAsia"/>
                <w:color w:val="000000" w:themeColor="text1"/>
                <w:sz w:val="18"/>
                <w:szCs w:val="18"/>
                <w:highlight w:val="none"/>
                <w14:textFill>
                  <w14:solidFill>
                    <w14:schemeClr w14:val="tx1"/>
                  </w14:solidFill>
                </w14:textFill>
              </w:rPr>
              <w:t>序号</w:t>
            </w:r>
          </w:p>
        </w:tc>
        <w:tc>
          <w:tcPr>
            <w:tcW w:w="1952" w:type="pct"/>
            <w:tcBorders>
              <w:top w:val="single" w:color="auto" w:sz="8" w:space="0"/>
              <w:bottom w:val="single" w:color="auto" w:sz="8" w:space="0"/>
            </w:tcBorders>
            <w:vAlign w:val="center"/>
          </w:tcPr>
          <w:p>
            <w:pPr>
              <w:pStyle w:val="34"/>
              <w:numPr>
                <w:ilvl w:val="0"/>
                <w:numId w:val="0"/>
              </w:numPr>
              <w:spacing w:beforeLines="0" w:afterLines="0"/>
              <w:ind w:firstLine="1620" w:firstLineChars="900"/>
              <w:jc w:val="both"/>
              <w:rPr>
                <w:rFonts w:asciiTheme="minorEastAsia" w:hAnsiTheme="minorEastAsia" w:eastAsiaTheme="minorEastAsia" w:cstheme="minorEastAsia"/>
                <w:color w:val="000000" w:themeColor="text1"/>
                <w:sz w:val="18"/>
                <w:szCs w:val="18"/>
                <w:highlight w:val="none"/>
                <w14:textFill>
                  <w14:solidFill>
                    <w14:schemeClr w14:val="tx1"/>
                  </w14:solidFill>
                </w14:textFill>
              </w:rPr>
            </w:pPr>
            <w:r>
              <w:rPr>
                <w:rFonts w:hint="eastAsia" w:asciiTheme="minorEastAsia" w:hAnsiTheme="minorEastAsia" w:eastAsiaTheme="minorEastAsia" w:cstheme="minorEastAsia"/>
                <w:color w:val="000000" w:themeColor="text1"/>
                <w:sz w:val="18"/>
                <w:szCs w:val="18"/>
                <w:highlight w:val="none"/>
                <w14:textFill>
                  <w14:solidFill>
                    <w14:schemeClr w14:val="tx1"/>
                  </w14:solidFill>
                </w14:textFill>
              </w:rPr>
              <w:t>项目</w:t>
            </w:r>
          </w:p>
        </w:tc>
        <w:tc>
          <w:tcPr>
            <w:tcW w:w="2327" w:type="pct"/>
            <w:tcBorders>
              <w:top w:val="single" w:color="auto" w:sz="8" w:space="0"/>
              <w:bottom w:val="single" w:color="auto" w:sz="8" w:space="0"/>
            </w:tcBorders>
            <w:vAlign w:val="center"/>
          </w:tcPr>
          <w:p>
            <w:pPr>
              <w:pStyle w:val="34"/>
              <w:numPr>
                <w:ilvl w:val="0"/>
                <w:numId w:val="0"/>
              </w:numPr>
              <w:spacing w:beforeLines="0" w:afterLines="0"/>
              <w:jc w:val="center"/>
              <w:rPr>
                <w:rFonts w:asciiTheme="minorEastAsia" w:hAnsiTheme="minorEastAsia" w:eastAsiaTheme="minorEastAsia" w:cstheme="minorEastAsia"/>
                <w:color w:val="000000" w:themeColor="text1"/>
                <w:sz w:val="18"/>
                <w:szCs w:val="18"/>
                <w:highlight w:val="none"/>
                <w14:textFill>
                  <w14:solidFill>
                    <w14:schemeClr w14:val="tx1"/>
                  </w14:solidFill>
                </w14:textFill>
              </w:rPr>
            </w:pPr>
            <w:r>
              <w:rPr>
                <w:rFonts w:asciiTheme="minorEastAsia" w:hAnsiTheme="minorEastAsia" w:eastAsiaTheme="minorEastAsia" w:cstheme="minorEastAsia"/>
                <w:color w:val="000000" w:themeColor="text1"/>
                <w:sz w:val="18"/>
                <w:szCs w:val="18"/>
                <w:highlight w:val="none"/>
                <w14:textFill>
                  <w14:solidFill>
                    <w14:schemeClr w14:val="tx1"/>
                  </w14:solidFill>
                </w14:textFill>
              </w:rPr>
              <w:t>防护等级</w:t>
            </w:r>
          </w:p>
        </w:tc>
      </w:tr>
      <w:tr>
        <w:trPr>
          <w:trHeight w:val="518" w:hRule="atLeast"/>
        </w:trPr>
        <w:tc>
          <w:tcPr>
            <w:tcW w:w="720" w:type="pct"/>
            <w:tcBorders>
              <w:top w:val="single" w:color="auto" w:sz="8" w:space="0"/>
            </w:tcBorders>
            <w:vAlign w:val="center"/>
          </w:tcPr>
          <w:p>
            <w:pPr>
              <w:pStyle w:val="26"/>
              <w:snapToGrid w:val="0"/>
              <w:ind w:firstLine="0" w:firstLineChars="0"/>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asciiTheme="minorEastAsia" w:hAnsiTheme="minorEastAsia" w:cstheme="minorEastAsia"/>
                <w:color w:val="000000" w:themeColor="text1"/>
                <w:sz w:val="18"/>
                <w:szCs w:val="18"/>
                <w:highlight w:val="none"/>
                <w14:textFill>
                  <w14:solidFill>
                    <w14:schemeClr w14:val="tx1"/>
                  </w14:solidFill>
                </w14:textFill>
              </w:rPr>
              <w:t>2</w:t>
            </w:r>
          </w:p>
        </w:tc>
        <w:tc>
          <w:tcPr>
            <w:tcW w:w="1952" w:type="pct"/>
            <w:tcBorders>
              <w:top w:val="single" w:color="auto" w:sz="8" w:space="0"/>
            </w:tcBorders>
            <w:vAlign w:val="center"/>
          </w:tcPr>
          <w:p>
            <w:pPr>
              <w:pStyle w:val="10"/>
              <w:widowControl/>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hint="eastAsia" w:asciiTheme="minorEastAsia" w:hAnsiTheme="minorEastAsia" w:cstheme="minorEastAsia"/>
                <w:color w:val="000000" w:themeColor="text1"/>
                <w:sz w:val="18"/>
                <w:szCs w:val="18"/>
                <w:highlight w:val="none"/>
                <w14:textFill>
                  <w14:solidFill>
                    <w14:schemeClr w14:val="tx1"/>
                  </w14:solidFill>
                </w14:textFill>
              </w:rPr>
              <w:t>操作机构室</w:t>
            </w:r>
          </w:p>
        </w:tc>
        <w:tc>
          <w:tcPr>
            <w:tcW w:w="2327" w:type="pct"/>
            <w:tcBorders>
              <w:top w:val="single" w:color="auto" w:sz="8" w:space="0"/>
            </w:tcBorders>
            <w:vAlign w:val="center"/>
          </w:tcPr>
          <w:p>
            <w:pPr>
              <w:pStyle w:val="34"/>
              <w:numPr>
                <w:ilvl w:val="0"/>
                <w:numId w:val="0"/>
              </w:numPr>
              <w:spacing w:beforeLines="0" w:afterLines="0"/>
              <w:jc w:val="center"/>
              <w:rPr>
                <w:rFonts w:asciiTheme="minorEastAsia" w:hAnsiTheme="minorEastAsia" w:eastAsiaTheme="minorEastAsia" w:cstheme="minorEastAsia"/>
                <w:color w:val="000000" w:themeColor="text1"/>
                <w:sz w:val="18"/>
                <w:szCs w:val="18"/>
                <w:highlight w:val="none"/>
                <w14:textFill>
                  <w14:solidFill>
                    <w14:schemeClr w14:val="tx1"/>
                  </w14:solidFill>
                </w14:textFill>
              </w:rPr>
            </w:pPr>
            <w:r>
              <w:rPr>
                <w:rFonts w:asciiTheme="minorEastAsia" w:hAnsiTheme="minorEastAsia" w:eastAsiaTheme="minorEastAsia" w:cstheme="minorEastAsia"/>
                <w:color w:val="000000" w:themeColor="text1"/>
                <w:sz w:val="18"/>
                <w:szCs w:val="18"/>
                <w:highlight w:val="none"/>
                <w14:textFill>
                  <w14:solidFill>
                    <w14:schemeClr w14:val="tx1"/>
                  </w14:solidFill>
                </w14:textFill>
              </w:rPr>
              <w:t>≧IP65</w:t>
            </w:r>
          </w:p>
        </w:tc>
      </w:tr>
      <w:tr>
        <w:trPr>
          <w:trHeight w:val="505" w:hRule="atLeast"/>
        </w:trPr>
        <w:tc>
          <w:tcPr>
            <w:tcW w:w="720" w:type="pct"/>
            <w:vAlign w:val="center"/>
          </w:tcPr>
          <w:p>
            <w:pPr>
              <w:pStyle w:val="26"/>
              <w:snapToGrid w:val="0"/>
              <w:ind w:firstLine="0" w:firstLineChars="0"/>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asciiTheme="minorEastAsia" w:hAnsiTheme="minorEastAsia" w:cstheme="minorEastAsia"/>
                <w:color w:val="000000" w:themeColor="text1"/>
                <w:sz w:val="18"/>
                <w:szCs w:val="18"/>
                <w:highlight w:val="none"/>
                <w14:textFill>
                  <w14:solidFill>
                    <w14:schemeClr w14:val="tx1"/>
                  </w14:solidFill>
                </w14:textFill>
              </w:rPr>
              <w:t>3</w:t>
            </w:r>
          </w:p>
        </w:tc>
        <w:tc>
          <w:tcPr>
            <w:tcW w:w="1952" w:type="pct"/>
            <w:vAlign w:val="center"/>
          </w:tcPr>
          <w:p>
            <w:pPr>
              <w:pStyle w:val="10"/>
              <w:widowControl/>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hint="eastAsia" w:asciiTheme="minorEastAsia" w:hAnsiTheme="minorEastAsia" w:cstheme="minorEastAsia"/>
                <w:color w:val="000000" w:themeColor="text1"/>
                <w:sz w:val="18"/>
                <w:szCs w:val="18"/>
                <w:highlight w:val="none"/>
                <w14:textFill>
                  <w14:solidFill>
                    <w14:schemeClr w14:val="tx1"/>
                  </w14:solidFill>
                </w14:textFill>
              </w:rPr>
              <w:t>仪表室</w:t>
            </w:r>
          </w:p>
        </w:tc>
        <w:tc>
          <w:tcPr>
            <w:tcW w:w="2327" w:type="pct"/>
            <w:vAlign w:val="center"/>
          </w:tcPr>
          <w:p>
            <w:pPr>
              <w:pStyle w:val="34"/>
              <w:numPr>
                <w:ilvl w:val="0"/>
                <w:numId w:val="0"/>
              </w:numPr>
              <w:spacing w:beforeLines="0" w:afterLines="0"/>
              <w:jc w:val="center"/>
              <w:rPr>
                <w:rFonts w:asciiTheme="minorEastAsia" w:hAnsiTheme="minorEastAsia" w:eastAsiaTheme="minorEastAsia" w:cstheme="minorEastAsia"/>
                <w:color w:val="000000" w:themeColor="text1"/>
                <w:sz w:val="18"/>
                <w:szCs w:val="18"/>
                <w:highlight w:val="none"/>
                <w14:textFill>
                  <w14:solidFill>
                    <w14:schemeClr w14:val="tx1"/>
                  </w14:solidFill>
                </w14:textFill>
              </w:rPr>
            </w:pPr>
            <w:r>
              <w:rPr>
                <w:rFonts w:asciiTheme="minorEastAsia" w:hAnsiTheme="minorEastAsia" w:eastAsiaTheme="minorEastAsia" w:cstheme="minorEastAsia"/>
                <w:color w:val="000000" w:themeColor="text1"/>
                <w:sz w:val="18"/>
                <w:szCs w:val="18"/>
                <w:highlight w:val="none"/>
                <w14:textFill>
                  <w14:solidFill>
                    <w14:schemeClr w14:val="tx1"/>
                  </w14:solidFill>
                </w14:textFill>
              </w:rPr>
              <w:t>≧IP54</w:t>
            </w:r>
          </w:p>
        </w:tc>
      </w:tr>
      <w:tr>
        <w:trPr>
          <w:trHeight w:val="505" w:hRule="atLeast"/>
        </w:trPr>
        <w:tc>
          <w:tcPr>
            <w:tcW w:w="720" w:type="pct"/>
            <w:vAlign w:val="center"/>
          </w:tcPr>
          <w:p>
            <w:pPr>
              <w:pStyle w:val="26"/>
              <w:snapToGrid w:val="0"/>
              <w:ind w:firstLine="0" w:firstLineChars="0"/>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asciiTheme="minorEastAsia" w:hAnsiTheme="minorEastAsia" w:cstheme="minorEastAsia"/>
                <w:color w:val="000000" w:themeColor="text1"/>
                <w:sz w:val="18"/>
                <w:szCs w:val="18"/>
                <w:highlight w:val="none"/>
                <w14:textFill>
                  <w14:solidFill>
                    <w14:schemeClr w14:val="tx1"/>
                  </w14:solidFill>
                </w14:textFill>
              </w:rPr>
              <w:t>4</w:t>
            </w:r>
          </w:p>
        </w:tc>
        <w:tc>
          <w:tcPr>
            <w:tcW w:w="1952" w:type="pct"/>
            <w:vAlign w:val="center"/>
          </w:tcPr>
          <w:p>
            <w:pPr>
              <w:pStyle w:val="10"/>
              <w:widowControl/>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hint="eastAsia" w:asciiTheme="minorEastAsia" w:hAnsiTheme="minorEastAsia" w:cstheme="minorEastAsia"/>
                <w:color w:val="000000" w:themeColor="text1"/>
                <w:sz w:val="18"/>
                <w:szCs w:val="18"/>
                <w:highlight w:val="none"/>
                <w14:textFill>
                  <w14:solidFill>
                    <w14:schemeClr w14:val="tx1"/>
                  </w14:solidFill>
                </w14:textFill>
              </w:rPr>
              <w:t>电缆室</w:t>
            </w:r>
          </w:p>
        </w:tc>
        <w:tc>
          <w:tcPr>
            <w:tcW w:w="2327" w:type="pct"/>
            <w:vAlign w:val="center"/>
          </w:tcPr>
          <w:p>
            <w:pPr>
              <w:pStyle w:val="34"/>
              <w:numPr>
                <w:ilvl w:val="0"/>
                <w:numId w:val="0"/>
              </w:numPr>
              <w:spacing w:beforeLines="0" w:afterLines="0"/>
              <w:jc w:val="center"/>
              <w:rPr>
                <w:rFonts w:asciiTheme="minorEastAsia" w:hAnsiTheme="minorEastAsia" w:eastAsiaTheme="minorEastAsia" w:cstheme="minorEastAsia"/>
                <w:color w:val="000000" w:themeColor="text1"/>
                <w:sz w:val="18"/>
                <w:szCs w:val="18"/>
                <w:highlight w:val="none"/>
                <w14:textFill>
                  <w14:solidFill>
                    <w14:schemeClr w14:val="tx1"/>
                  </w14:solidFill>
                </w14:textFill>
              </w:rPr>
            </w:pPr>
            <w:r>
              <w:rPr>
                <w:rFonts w:asciiTheme="minorEastAsia" w:hAnsiTheme="minorEastAsia" w:eastAsiaTheme="minorEastAsia" w:cstheme="minorEastAsia"/>
                <w:color w:val="000000" w:themeColor="text1"/>
                <w:sz w:val="18"/>
                <w:szCs w:val="18"/>
                <w:highlight w:val="none"/>
                <w14:textFill>
                  <w14:solidFill>
                    <w14:schemeClr w14:val="tx1"/>
                  </w14:solidFill>
                </w14:textFill>
              </w:rPr>
              <w:t>≧IP4X</w:t>
            </w:r>
          </w:p>
        </w:tc>
      </w:tr>
      <w:tr>
        <w:trPr>
          <w:trHeight w:val="505" w:hRule="atLeast"/>
        </w:trPr>
        <w:tc>
          <w:tcPr>
            <w:tcW w:w="720" w:type="pct"/>
            <w:vAlign w:val="center"/>
          </w:tcPr>
          <w:p>
            <w:pPr>
              <w:pStyle w:val="26"/>
              <w:snapToGrid w:val="0"/>
              <w:ind w:firstLine="0" w:firstLineChars="0"/>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asciiTheme="minorEastAsia" w:hAnsiTheme="minorEastAsia" w:cstheme="minorEastAsia"/>
                <w:color w:val="000000" w:themeColor="text1"/>
                <w:sz w:val="18"/>
                <w:szCs w:val="18"/>
                <w:highlight w:val="none"/>
                <w14:textFill>
                  <w14:solidFill>
                    <w14:schemeClr w14:val="tx1"/>
                  </w14:solidFill>
                </w14:textFill>
              </w:rPr>
              <w:t>5</w:t>
            </w:r>
          </w:p>
        </w:tc>
        <w:tc>
          <w:tcPr>
            <w:tcW w:w="1952" w:type="pct"/>
            <w:vAlign w:val="center"/>
          </w:tcPr>
          <w:p>
            <w:pPr>
              <w:pStyle w:val="10"/>
              <w:widowControl/>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hint="eastAsia" w:asciiTheme="minorEastAsia" w:hAnsiTheme="minorEastAsia" w:cstheme="minorEastAsia"/>
                <w:color w:val="000000" w:themeColor="text1"/>
                <w:sz w:val="18"/>
                <w:szCs w:val="18"/>
                <w:highlight w:val="none"/>
                <w14:textFill>
                  <w14:solidFill>
                    <w14:schemeClr w14:val="tx1"/>
                  </w14:solidFill>
                </w14:textFill>
              </w:rPr>
              <w:t>隔室等级</w:t>
            </w:r>
          </w:p>
        </w:tc>
        <w:tc>
          <w:tcPr>
            <w:tcW w:w="2327" w:type="pct"/>
            <w:vAlign w:val="center"/>
          </w:tcPr>
          <w:p>
            <w:pPr>
              <w:pStyle w:val="34"/>
              <w:numPr>
                <w:ilvl w:val="0"/>
                <w:numId w:val="0"/>
              </w:numPr>
              <w:spacing w:beforeLines="0" w:afterLines="0"/>
              <w:jc w:val="center"/>
              <w:rPr>
                <w:rFonts w:asciiTheme="minorEastAsia" w:hAnsiTheme="minorEastAsia" w:eastAsiaTheme="minorEastAsia" w:cstheme="minorEastAsia"/>
                <w:color w:val="000000" w:themeColor="text1"/>
                <w:sz w:val="18"/>
                <w:szCs w:val="18"/>
                <w:highlight w:val="none"/>
                <w14:textFill>
                  <w14:solidFill>
                    <w14:schemeClr w14:val="tx1"/>
                  </w14:solidFill>
                </w14:textFill>
              </w:rPr>
            </w:pPr>
            <w:r>
              <w:rPr>
                <w:rFonts w:asciiTheme="minorEastAsia" w:hAnsiTheme="minorEastAsia" w:eastAsiaTheme="minorEastAsia" w:cstheme="minorEastAsia"/>
                <w:color w:val="000000" w:themeColor="text1"/>
                <w:sz w:val="18"/>
                <w:szCs w:val="18"/>
                <w:highlight w:val="none"/>
                <w14:textFill>
                  <w14:solidFill>
                    <w14:schemeClr w14:val="tx1"/>
                  </w14:solidFill>
                </w14:textFill>
              </w:rPr>
              <w:t>PM</w:t>
            </w:r>
          </w:p>
        </w:tc>
      </w:tr>
    </w:tbl>
    <w:p>
      <w:pPr>
        <w:pStyle w:val="26"/>
        <w:ind w:firstLine="0" w:firstLineChars="0"/>
        <w:rPr>
          <w:color w:val="000000" w:themeColor="text1"/>
          <w:highlight w:val="none"/>
          <w14:textFill>
            <w14:solidFill>
              <w14:schemeClr w14:val="tx1"/>
            </w14:solidFill>
          </w14:textFill>
        </w:rPr>
      </w:pPr>
    </w:p>
    <w:p>
      <w:pPr>
        <w:pStyle w:val="33"/>
        <w:numPr>
          <w:ilvl w:val="0"/>
          <w:numId w:val="0"/>
        </w:numPr>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xml:space="preserve">6.2.13.3  </w:t>
      </w:r>
      <w:r>
        <w:rPr>
          <w:color w:val="000000" w:themeColor="text1"/>
          <w:highlight w:val="none"/>
          <w14:textFill>
            <w14:solidFill>
              <w14:schemeClr w14:val="tx1"/>
            </w14:solidFill>
          </w14:textFill>
        </w:rPr>
        <w:t>防止受到机械撞击的防护等级（IK代码）</w:t>
      </w:r>
    </w:p>
    <w:p>
      <w:pPr>
        <w:pStyle w:val="33"/>
        <w:numPr>
          <w:ilvl w:val="0"/>
          <w:numId w:val="0"/>
        </w:numPr>
        <w:spacing w:beforeLines="0" w:afterLines="0"/>
        <w:ind w:firstLine="420" w:firstLineChars="200"/>
        <w:outlineLvl w:val="9"/>
        <w:rPr>
          <w:rFonts w:ascii="宋体" w:eastAsia="宋体"/>
          <w:color w:val="000000" w:themeColor="text1"/>
          <w:szCs w:val="20"/>
          <w:highlight w:val="none"/>
          <w:lang w:bidi="en-US"/>
          <w14:textFill>
            <w14:solidFill>
              <w14:schemeClr w14:val="tx1"/>
            </w14:solidFill>
          </w14:textFill>
        </w:rPr>
      </w:pPr>
      <w:r>
        <w:rPr>
          <w:rFonts w:ascii="宋体" w:eastAsia="宋体"/>
          <w:color w:val="000000" w:themeColor="text1"/>
          <w:szCs w:val="20"/>
          <w:highlight w:val="none"/>
          <w:lang w:bidi="en-US"/>
          <w14:textFill>
            <w14:solidFill>
              <w14:schemeClr w14:val="tx1"/>
            </w14:solidFill>
          </w14:textFill>
        </w:rPr>
        <w:t>海上风电用高压开关柜</w:t>
      </w:r>
      <w:r>
        <w:rPr>
          <w:rFonts w:hint="eastAsia" w:ascii="宋体" w:eastAsia="宋体"/>
          <w:color w:val="000000" w:themeColor="text1"/>
          <w:szCs w:val="20"/>
          <w:highlight w:val="none"/>
          <w:lang w:bidi="en-US"/>
          <w14:textFill>
            <w14:solidFill>
              <w14:schemeClr w14:val="tx1"/>
            </w14:solidFill>
          </w14:textFill>
        </w:rPr>
        <w:t>最低的</w:t>
      </w:r>
      <w:r>
        <w:rPr>
          <w:rFonts w:ascii="宋体" w:eastAsia="宋体"/>
          <w:color w:val="000000" w:themeColor="text1"/>
          <w:szCs w:val="20"/>
          <w:highlight w:val="none"/>
          <w:lang w:bidi="en-US"/>
          <w14:textFill>
            <w14:solidFill>
              <w14:schemeClr w14:val="tx1"/>
            </w14:solidFill>
          </w14:textFill>
        </w:rPr>
        <w:t>撞击水平</w:t>
      </w:r>
      <w:r>
        <w:rPr>
          <w:rFonts w:hint="eastAsia" w:ascii="宋体" w:eastAsia="宋体"/>
          <w:color w:val="000000" w:themeColor="text1"/>
          <w:szCs w:val="20"/>
          <w:highlight w:val="none"/>
          <w:lang w:bidi="en-US"/>
          <w14:textFill>
            <w14:solidFill>
              <w14:schemeClr w14:val="tx1"/>
            </w14:solidFill>
          </w14:textFill>
        </w:rPr>
        <w:t>为</w:t>
      </w:r>
      <w:r>
        <w:rPr>
          <w:rFonts w:hint="eastAsia" w:ascii="宋体" w:hAnsi="宋体" w:eastAsia="宋体" w:cs="宋体"/>
          <w:color w:val="000000" w:themeColor="text1"/>
          <w:highlight w:val="none"/>
          <w14:textFill>
            <w14:solidFill>
              <w14:schemeClr w14:val="tx1"/>
            </w14:solidFill>
          </w14:textFill>
        </w:rPr>
        <w:t>GB/T</w:t>
      </w:r>
      <w:r>
        <w:rPr>
          <w:rFonts w:ascii="宋体" w:hAnsi="宋体" w:eastAsia="宋体" w:cs="宋体"/>
          <w:color w:val="000000" w:themeColor="text1"/>
          <w:highlight w:val="none"/>
          <w14:textFill>
            <w14:solidFill>
              <w14:schemeClr w14:val="tx1"/>
            </w14:solidFill>
          </w14:textFill>
        </w:rPr>
        <w:t xml:space="preserve"> 20138</w:t>
      </w:r>
      <w:r>
        <w:rPr>
          <w:rFonts w:hint="eastAsia" w:ascii="宋体" w:hAnsi="宋体" w:eastAsia="宋体" w:cs="宋体"/>
          <w:color w:val="000000" w:themeColor="text1"/>
          <w:highlight w:val="none"/>
          <w14:textFill>
            <w14:solidFill>
              <w14:schemeClr w14:val="tx1"/>
            </w14:solidFill>
          </w14:textFill>
        </w:rPr>
        <w:t>规定的</w:t>
      </w:r>
      <w:r>
        <w:rPr>
          <w:rFonts w:ascii="宋体" w:eastAsia="宋体"/>
          <w:color w:val="000000" w:themeColor="text1"/>
          <w:szCs w:val="20"/>
          <w:highlight w:val="none"/>
          <w:lang w:bidi="en-US"/>
          <w14:textFill>
            <w14:solidFill>
              <w14:schemeClr w14:val="tx1"/>
            </w14:solidFill>
          </w14:textFill>
        </w:rPr>
        <w:t>IK08（5J）。</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户外绝缘子的爬电距离</w:t>
      </w:r>
    </w:p>
    <w:p>
      <w:pPr>
        <w:pStyle w:val="33"/>
        <w:numPr>
          <w:ilvl w:val="0"/>
          <w:numId w:val="0"/>
        </w:numPr>
        <w:spacing w:beforeLines="0" w:afterLines="0"/>
        <w:ind w:firstLine="420" w:firstLineChars="200"/>
        <w:outlineLvl w:val="9"/>
        <w:rPr>
          <w:color w:val="000000" w:themeColor="text1"/>
          <w:highlight w:val="none"/>
          <w14:textFill>
            <w14:solidFill>
              <w14:schemeClr w14:val="tx1"/>
            </w14:solidFill>
          </w14:textFill>
        </w:rPr>
      </w:pPr>
      <w:r>
        <w:rPr>
          <w:rFonts w:ascii="宋体" w:eastAsia="宋体"/>
          <w:color w:val="000000" w:themeColor="text1"/>
          <w:szCs w:val="20"/>
          <w:highlight w:val="none"/>
          <w:lang w:bidi="en-US"/>
          <w14:textFill>
            <w14:solidFill>
              <w14:schemeClr w14:val="tx1"/>
            </w14:solidFill>
          </w14:textFill>
        </w:rPr>
        <w:t>应符合GB/T 11022—2020中6.15的规定。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气体和真空的密封</w:t>
      </w:r>
    </w:p>
    <w:p>
      <w:pPr>
        <w:pStyle w:val="33"/>
        <w:numPr>
          <w:ilvl w:val="0"/>
          <w:numId w:val="0"/>
        </w:numPr>
        <w:spacing w:beforeLines="0" w:afterLines="0"/>
        <w:ind w:firstLine="420" w:firstLineChars="200"/>
        <w:outlineLvl w:val="9"/>
        <w:rPr>
          <w:rFonts w:ascii="宋体" w:eastAsia="宋体"/>
          <w:color w:val="000000" w:themeColor="text1"/>
          <w:szCs w:val="20"/>
          <w:highlight w:val="none"/>
          <w:lang w:bidi="en-US"/>
          <w14:textFill>
            <w14:solidFill>
              <w14:schemeClr w14:val="tx1"/>
            </w14:solidFill>
          </w14:textFill>
        </w:rPr>
      </w:pPr>
      <w:r>
        <w:rPr>
          <w:rFonts w:ascii="宋体" w:eastAsia="宋体"/>
          <w:color w:val="000000" w:themeColor="text1"/>
          <w:szCs w:val="20"/>
          <w:highlight w:val="none"/>
          <w:lang w:bidi="en-US"/>
          <w14:textFill>
            <w14:solidFill>
              <w14:schemeClr w14:val="tx1"/>
            </w14:solidFill>
          </w14:textFill>
        </w:rPr>
        <w:t>应符合GB/T 11022—2020中6.16的规定，并做如下补充：</w:t>
      </w:r>
    </w:p>
    <w:p>
      <w:pPr>
        <w:pStyle w:val="2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气体的年漏气率应符合6.1.17的规定。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火灾（易燃性）</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应符合GB/T 11022</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2020中6.18的规定。</w:t>
      </w:r>
    </w:p>
    <w:p>
      <w:pPr>
        <w:pStyle w:val="33"/>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电磁兼容性（EMC）</w:t>
      </w:r>
    </w:p>
    <w:p>
      <w:pPr>
        <w:pStyle w:val="26"/>
        <w:rPr>
          <w:rFonts w:hAnsi="宋体" w:eastAsia="宋体" w:cs="宋体"/>
          <w:color w:val="000000" w:themeColor="text1"/>
          <w:highlight w:val="none"/>
          <w14:textFill>
            <w14:solidFill>
              <w14:schemeClr w14:val="tx1"/>
            </w14:solidFill>
          </w14:textFill>
        </w:rPr>
      </w:pPr>
      <w:r>
        <w:rPr>
          <w:rFonts w:eastAsia="宋体"/>
          <w:color w:val="000000" w:themeColor="text1"/>
          <w:szCs w:val="20"/>
          <w:highlight w:val="none"/>
          <w:lang w:bidi="en-US"/>
          <w14:textFill>
            <w14:solidFill>
              <w14:schemeClr w14:val="tx1"/>
            </w14:solidFill>
          </w14:textFill>
        </w:rPr>
        <w:t>海上风电用高压开关柜</w:t>
      </w:r>
      <w:r>
        <w:rPr>
          <w:rFonts w:hint="eastAsia" w:hAnsi="宋体" w:eastAsia="宋体" w:cs="宋体"/>
          <w:color w:val="000000" w:themeColor="text1"/>
          <w:highlight w:val="none"/>
          <w14:textFill>
            <w14:solidFill>
              <w14:schemeClr w14:val="tx1"/>
            </w14:solidFill>
          </w14:textFill>
        </w:rPr>
        <w:t>应有电子线路的电器或控制设备</w:t>
      </w:r>
      <w:r>
        <w:rPr>
          <w:rFonts w:hAnsi="宋体" w:eastAsia="宋体" w:cs="宋体"/>
          <w:color w:val="000000" w:themeColor="text1"/>
          <w:highlight w:val="none"/>
          <w14:textFill>
            <w14:solidFill>
              <w14:schemeClr w14:val="tx1"/>
            </w14:solidFill>
          </w14:textFill>
        </w:rPr>
        <w:t>，</w:t>
      </w:r>
      <w:r>
        <w:rPr>
          <w:rFonts w:hint="eastAsia" w:hAnsi="宋体" w:eastAsia="宋体" w:cs="宋体"/>
          <w:color w:val="000000" w:themeColor="text1"/>
          <w:highlight w:val="none"/>
          <w14:textFill>
            <w14:solidFill>
              <w14:schemeClr w14:val="tx1"/>
            </w14:solidFill>
          </w14:textFill>
        </w:rPr>
        <w:t>符合GB/T 11022</w:t>
      </w:r>
      <w:r>
        <w:rPr>
          <w:rFonts w:hAnsi="宋体" w:eastAsia="宋体" w:cs="宋体"/>
          <w:color w:val="000000" w:themeColor="text1"/>
          <w:highlight w:val="none"/>
          <w14:textFill>
            <w14:solidFill>
              <w14:schemeClr w14:val="tx1"/>
            </w14:solidFill>
          </w14:textFill>
        </w:rPr>
        <w:t>—</w:t>
      </w:r>
      <w:r>
        <w:rPr>
          <w:rFonts w:hint="eastAsia" w:hAnsi="宋体" w:eastAsia="宋体" w:cs="宋体"/>
          <w:color w:val="000000" w:themeColor="text1"/>
          <w:highlight w:val="none"/>
          <w14:textFill>
            <w14:solidFill>
              <w14:schemeClr w14:val="tx1"/>
            </w14:solidFill>
          </w14:textFill>
        </w:rPr>
        <w:t>2020中6.19的规定。</w:t>
      </w:r>
    </w:p>
    <w:p>
      <w:pPr>
        <w:pStyle w:val="33"/>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X射线发射</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应符合GB/T 11022</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2020中6.</w:t>
      </w:r>
      <w:r>
        <w:rPr>
          <w:color w:val="000000" w:themeColor="text1"/>
          <w:highlight w:val="none"/>
          <w14:textFill>
            <w14:solidFill>
              <w14:schemeClr w14:val="tx1"/>
            </w14:solidFill>
          </w14:textFill>
        </w:rPr>
        <w:t>20</w:t>
      </w:r>
      <w:r>
        <w:rPr>
          <w:rFonts w:hint="eastAsia"/>
          <w:color w:val="000000" w:themeColor="text1"/>
          <w:highlight w:val="none"/>
          <w14:textFill>
            <w14:solidFill>
              <w14:schemeClr w14:val="tx1"/>
            </w14:solidFill>
          </w14:textFill>
        </w:rPr>
        <w:t>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腐蚀</w:t>
      </w:r>
      <w:r>
        <w:rPr>
          <w:rFonts w:hint="eastAsia"/>
          <w:color w:val="000000" w:themeColor="text1"/>
          <w:highlight w:val="none"/>
          <w14:textFill>
            <w14:solidFill>
              <w14:schemeClr w14:val="tx1"/>
            </w14:solidFill>
          </w14:textFill>
        </w:rPr>
        <w:t>F</w:t>
      </w:r>
    </w:p>
    <w:p>
      <w:pPr>
        <w:pStyle w:val="26"/>
        <w:rPr>
          <w:rFonts w:hAnsi="宋体" w:eastAsia="宋体" w:cs="宋体"/>
          <w:color w:val="000000" w:themeColor="text1"/>
          <w:highlight w:val="none"/>
          <w14:textFill>
            <w14:solidFill>
              <w14:schemeClr w14:val="tx1"/>
            </w14:solidFill>
          </w14:textFill>
        </w:rPr>
      </w:pPr>
      <w:r>
        <w:rPr>
          <w:rFonts w:hint="eastAsia" w:hAnsi="宋体" w:eastAsia="宋体" w:cs="宋体"/>
          <w:color w:val="000000" w:themeColor="text1"/>
          <w:highlight w:val="none"/>
          <w14:textFill>
            <w14:solidFill>
              <w14:schemeClr w14:val="tx1"/>
            </w14:solidFill>
          </w14:textFill>
        </w:rPr>
        <w:t>应符合GB/T 11022</w:t>
      </w:r>
      <w:r>
        <w:rPr>
          <w:rFonts w:hAnsi="宋体" w:eastAsia="宋体" w:cs="宋体"/>
          <w:color w:val="000000" w:themeColor="text1"/>
          <w:highlight w:val="none"/>
          <w14:textFill>
            <w14:solidFill>
              <w14:schemeClr w14:val="tx1"/>
            </w14:solidFill>
          </w14:textFill>
        </w:rPr>
        <w:t>—</w:t>
      </w:r>
      <w:r>
        <w:rPr>
          <w:rFonts w:hint="eastAsia" w:hAnsi="宋体" w:eastAsia="宋体" w:cs="宋体"/>
          <w:color w:val="000000" w:themeColor="text1"/>
          <w:highlight w:val="none"/>
          <w14:textFill>
            <w14:solidFill>
              <w14:schemeClr w14:val="tx1"/>
            </w14:solidFill>
          </w14:textFill>
        </w:rPr>
        <w:t>2020中6.21的规定，并作以下补充：</w:t>
      </w:r>
    </w:p>
    <w:p>
      <w:pPr>
        <w:pStyle w:val="33"/>
        <w:numPr>
          <w:ilvl w:val="0"/>
          <w:numId w:val="0"/>
        </w:numPr>
        <w:spacing w:beforeLines="0" w:afterLines="0"/>
        <w:ind w:firstLine="420" w:firstLineChars="200"/>
        <w:outlineLvl w:val="9"/>
        <w:rPr>
          <w:rFonts w:hAnsi="宋体" w:eastAsia="宋体" w:cs="宋体"/>
          <w:color w:val="000000" w:themeColor="text1"/>
          <w:highlight w:val="none"/>
          <w14:textFill>
            <w14:solidFill>
              <w14:schemeClr w14:val="tx1"/>
            </w14:solidFill>
          </w14:textFill>
        </w:rPr>
      </w:pPr>
      <w:r>
        <w:rPr>
          <w:rFonts w:ascii="宋体" w:hAnsi="宋体" w:eastAsia="宋体" w:cs="宋体"/>
          <w:color w:val="000000" w:themeColor="text1"/>
          <w:highlight w:val="none"/>
          <w14:textFill>
            <w14:solidFill>
              <w14:schemeClr w14:val="tx1"/>
            </w14:solidFill>
          </w14:textFill>
        </w:rPr>
        <w:t>外露的电器金属零部件腐蚀等级应不低于C4级，按7.22.4</w:t>
      </w:r>
      <w:r>
        <w:rPr>
          <w:rFonts w:ascii="宋体" w:eastAsia="宋体"/>
          <w:color w:val="000000" w:themeColor="text1"/>
          <w:szCs w:val="20"/>
          <w:highlight w:val="none"/>
          <w:lang w:bidi="en-US"/>
          <w14:textFill>
            <w14:solidFill>
              <w14:schemeClr w14:val="tx1"/>
            </w14:solidFill>
          </w14:textFill>
        </w:rPr>
        <w:t>试验后，其应通过168h</w:t>
      </w:r>
      <w:r>
        <w:rPr>
          <w:rFonts w:hint="eastAsia" w:ascii="宋体" w:eastAsia="宋体"/>
          <w:color w:val="000000" w:themeColor="text1"/>
          <w:szCs w:val="20"/>
          <w:highlight w:val="none"/>
          <w:lang w:bidi="en-US"/>
          <w14:textFill>
            <w14:solidFill>
              <w14:schemeClr w14:val="tx1"/>
            </w14:solidFill>
          </w14:textFill>
        </w:rPr>
        <w:t>及以上的</w:t>
      </w:r>
      <w:r>
        <w:rPr>
          <w:rFonts w:ascii="宋体" w:eastAsia="宋体"/>
          <w:color w:val="000000" w:themeColor="text1"/>
          <w:szCs w:val="20"/>
          <w:highlight w:val="none"/>
          <w:lang w:bidi="en-US"/>
          <w14:textFill>
            <w14:solidFill>
              <w14:schemeClr w14:val="tx1"/>
            </w14:solidFill>
          </w14:textFill>
        </w:rPr>
        <w:t>中性盐雾试验。</w:t>
      </w:r>
    </w:p>
    <w:p>
      <w:pPr>
        <w:pStyle w:val="33"/>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内部电弧故障</w:t>
      </w:r>
    </w:p>
    <w:p>
      <w:pPr>
        <w:pStyle w:val="26"/>
        <w:rPr>
          <w:rFonts w:hAnsi="宋体" w:eastAsia="宋体" w:cs="宋体"/>
          <w:color w:val="000000" w:themeColor="text1"/>
          <w:highlight w:val="none"/>
          <w14:textFill>
            <w14:solidFill>
              <w14:schemeClr w14:val="tx1"/>
            </w14:solidFill>
          </w14:textFill>
        </w:rPr>
      </w:pPr>
      <w:r>
        <w:rPr>
          <w:rFonts w:hint="eastAsia" w:hAnsi="宋体" w:eastAsia="宋体" w:cs="宋体"/>
          <w:color w:val="000000" w:themeColor="text1"/>
          <w:highlight w:val="none"/>
          <w14:textFill>
            <w14:solidFill>
              <w14:schemeClr w14:val="tx1"/>
            </w14:solidFill>
          </w14:textFill>
        </w:rPr>
        <w:t>按</w:t>
      </w:r>
      <w:r>
        <w:rPr>
          <w:rFonts w:hAnsi="宋体" w:eastAsia="宋体" w:cs="宋体"/>
          <w:color w:val="000000" w:themeColor="text1"/>
          <w:highlight w:val="none"/>
          <w14:textFill>
            <w14:solidFill>
              <w14:schemeClr w14:val="tx1"/>
            </w14:solidFill>
          </w14:textFill>
        </w:rPr>
        <w:t>GB/T 3906—2020中6.101条的规定。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外壳</w:t>
      </w:r>
    </w:p>
    <w:p>
      <w:pPr>
        <w:pStyle w:val="26"/>
        <w:rPr>
          <w:rFonts w:hAnsi="宋体" w:eastAsia="宋体" w:cs="宋体"/>
          <w:color w:val="000000" w:themeColor="text1"/>
          <w:highlight w:val="none"/>
          <w14:textFill>
            <w14:solidFill>
              <w14:schemeClr w14:val="tx1"/>
            </w14:solidFill>
          </w14:textFill>
        </w:rPr>
      </w:pPr>
      <w:r>
        <w:rPr>
          <w:rFonts w:hAnsi="宋体" w:eastAsia="宋体" w:cs="宋体"/>
          <w:color w:val="000000" w:themeColor="text1"/>
          <w:highlight w:val="none"/>
          <w14:textFill>
            <w14:solidFill>
              <w14:schemeClr w14:val="tx1"/>
            </w14:solidFill>
          </w14:textFill>
        </w:rPr>
        <w:t>按GB/T 3906—2020中6.102条规定。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高压隔室</w:t>
      </w:r>
    </w:p>
    <w:p>
      <w:pPr>
        <w:pStyle w:val="26"/>
        <w:rPr>
          <w:rFonts w:hAnsi="宋体" w:eastAsia="宋体" w:cs="宋体"/>
          <w:color w:val="000000" w:themeColor="text1"/>
          <w:highlight w:val="none"/>
          <w14:textFill>
            <w14:solidFill>
              <w14:schemeClr w14:val="tx1"/>
            </w14:solidFill>
          </w14:textFill>
        </w:rPr>
      </w:pPr>
      <w:r>
        <w:rPr>
          <w:rFonts w:hAnsi="宋体" w:eastAsia="宋体" w:cs="宋体"/>
          <w:color w:val="000000" w:themeColor="text1"/>
          <w:highlight w:val="none"/>
          <w14:textFill>
            <w14:solidFill>
              <w14:schemeClr w14:val="tx1"/>
            </w14:solidFill>
          </w14:textFill>
        </w:rPr>
        <w:t>按GB/T 3906—2020中6.103条规定。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电缆绝缘试验的规定</w:t>
      </w:r>
    </w:p>
    <w:p>
      <w:pPr>
        <w:pStyle w:val="26"/>
        <w:rPr>
          <w:rFonts w:hAnsi="宋体" w:eastAsia="宋体" w:cs="宋体"/>
          <w:color w:val="000000" w:themeColor="text1"/>
          <w:highlight w:val="none"/>
          <w14:textFill>
            <w14:solidFill>
              <w14:schemeClr w14:val="tx1"/>
            </w14:solidFill>
          </w14:textFill>
        </w:rPr>
      </w:pPr>
      <w:r>
        <w:rPr>
          <w:rFonts w:hAnsi="宋体" w:eastAsia="宋体" w:cs="宋体"/>
          <w:color w:val="000000" w:themeColor="text1"/>
          <w:highlight w:val="none"/>
          <w14:textFill>
            <w14:solidFill>
              <w14:schemeClr w14:val="tx1"/>
            </w14:solidFill>
          </w14:textFill>
        </w:rPr>
        <w:t>按GB/T 3906—2020中6.105条规定。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耐湿热</w:t>
      </w:r>
    </w:p>
    <w:p>
      <w:pPr>
        <w:pStyle w:val="33"/>
        <w:numPr>
          <w:ilvl w:val="0"/>
          <w:numId w:val="0"/>
        </w:numPr>
        <w:spacing w:beforeLines="0" w:afterLines="0"/>
        <w:ind w:firstLine="420" w:firstLineChars="200"/>
        <w:outlineLvl w:val="9"/>
        <w:rPr>
          <w:rFonts w:ascii="宋体" w:eastAsia="宋体"/>
          <w:color w:val="000000" w:themeColor="text1"/>
          <w:szCs w:val="20"/>
          <w:highlight w:val="none"/>
          <w:lang w:bidi="en-US"/>
          <w14:textFill>
            <w14:solidFill>
              <w14:schemeClr w14:val="tx1"/>
            </w14:solidFill>
          </w14:textFill>
        </w:rPr>
      </w:pPr>
      <w:r>
        <w:rPr>
          <w:rFonts w:ascii="宋体" w:eastAsia="宋体"/>
          <w:color w:val="000000" w:themeColor="text1"/>
          <w:szCs w:val="20"/>
          <w:highlight w:val="none"/>
          <w:lang w:bidi="en-US"/>
          <w14:textFill>
            <w14:solidFill>
              <w14:schemeClr w14:val="tx1"/>
            </w14:solidFill>
          </w14:textFill>
        </w:rPr>
        <w:t>海上风电用高压开关柜在55°C的环境下，二周期交变湿热进行试验，</w:t>
      </w:r>
      <w:r>
        <w:rPr>
          <w:rFonts w:hint="eastAsia" w:ascii="宋体" w:eastAsia="宋体"/>
          <w:color w:val="000000" w:themeColor="text1"/>
          <w:szCs w:val="20"/>
          <w:highlight w:val="none"/>
          <w:lang w:bidi="en-US"/>
          <w14:textFill>
            <w14:solidFill>
              <w14:schemeClr w14:val="tx1"/>
            </w14:solidFill>
          </w14:textFill>
        </w:rPr>
        <w:t>其</w:t>
      </w:r>
      <w:r>
        <w:rPr>
          <w:rFonts w:ascii="宋体" w:eastAsia="宋体"/>
          <w:color w:val="000000" w:themeColor="text1"/>
          <w:szCs w:val="20"/>
          <w:highlight w:val="none"/>
          <w:lang w:bidi="en-US"/>
          <w14:textFill>
            <w14:solidFill>
              <w14:schemeClr w14:val="tx1"/>
            </w14:solidFill>
          </w14:textFill>
        </w:rPr>
        <w:t>性能应符合下列规定:</w:t>
      </w:r>
    </w:p>
    <w:p>
      <w:pPr>
        <w:pStyle w:val="32"/>
        <w:numPr>
          <w:ilvl w:val="0"/>
          <w:numId w:val="7"/>
        </w:numPr>
        <w:ind w:left="0" w:firstLine="420" w:firstLineChars="200"/>
        <w:jc w:val="both"/>
        <w:outlineLvl w:val="9"/>
        <w:rPr>
          <w:color w:val="000000" w:themeColor="text1"/>
          <w:highlight w:val="none"/>
          <w:lang w:bidi="en-US"/>
          <w14:textFill>
            <w14:solidFill>
              <w14:schemeClr w14:val="tx1"/>
            </w14:solidFill>
          </w14:textFill>
        </w:rPr>
      </w:pPr>
      <w:r>
        <w:rPr>
          <w:color w:val="000000" w:themeColor="text1"/>
          <w:highlight w:val="none"/>
          <w:lang w:bidi="en-US"/>
          <w14:textFill>
            <w14:solidFill>
              <w14:schemeClr w14:val="tx1"/>
            </w14:solidFill>
          </w14:textFill>
        </w:rPr>
        <w:t>绝缘电阻应大</w:t>
      </w:r>
      <w:r>
        <w:rPr>
          <w:rFonts w:hint="eastAsia"/>
          <w:color w:val="000000" w:themeColor="text1"/>
          <w:highlight w:val="none"/>
          <w:lang w:bidi="en-US"/>
          <w14:textFill>
            <w14:solidFill>
              <w14:schemeClr w14:val="tx1"/>
            </w14:solidFill>
          </w14:textFill>
        </w:rPr>
        <w:t>于</w:t>
      </w:r>
      <w:r>
        <w:rPr>
          <w:color w:val="000000" w:themeColor="text1"/>
          <w:highlight w:val="none"/>
          <w:lang w:bidi="en-US"/>
          <w14:textFill>
            <w14:solidFill>
              <w14:schemeClr w14:val="tx1"/>
            </w14:solidFill>
          </w14:textFill>
        </w:rPr>
        <w:t>1M</w:t>
      </w:r>
      <w:r>
        <w:rPr>
          <w:rFonts w:hAnsi="宋体"/>
          <w:color w:val="000000" w:themeColor="text1"/>
          <w:highlight w:val="none"/>
          <w:lang w:bidi="en-US"/>
          <w14:textFill>
            <w14:solidFill>
              <w14:schemeClr w14:val="tx1"/>
            </w14:solidFill>
          </w14:textFill>
        </w:rPr>
        <w:t>Ω</w:t>
      </w:r>
      <w:r>
        <w:rPr>
          <w:color w:val="000000" w:themeColor="text1"/>
          <w:highlight w:val="none"/>
          <w:lang w:bidi="en-US"/>
          <w14:textFill>
            <w14:solidFill>
              <w14:schemeClr w14:val="tx1"/>
            </w14:solidFill>
          </w14:textFill>
        </w:rPr>
        <w:t>；</w:t>
      </w:r>
    </w:p>
    <w:p>
      <w:pPr>
        <w:pStyle w:val="32"/>
        <w:numPr>
          <w:ilvl w:val="0"/>
          <w:numId w:val="7"/>
        </w:numPr>
        <w:ind w:left="0" w:firstLine="420" w:firstLineChars="200"/>
        <w:jc w:val="both"/>
        <w:outlineLvl w:val="9"/>
        <w:rPr>
          <w:color w:val="000000" w:themeColor="text1"/>
          <w:highlight w:val="none"/>
          <w:lang w:bidi="en-US"/>
          <w14:textFill>
            <w14:solidFill>
              <w14:schemeClr w14:val="tx1"/>
            </w14:solidFill>
          </w14:textFill>
        </w:rPr>
      </w:pPr>
      <w:r>
        <w:rPr>
          <w:rFonts w:hint="eastAsia"/>
          <w:color w:val="000000" w:themeColor="text1"/>
          <w:szCs w:val="20"/>
          <w:highlight w:val="none"/>
          <w:lang w:bidi="en-US"/>
          <w14:textFill>
            <w14:solidFill>
              <w14:schemeClr w14:val="tx1"/>
            </w14:solidFill>
          </w14:textFill>
        </w:rPr>
        <w:t>试验后</w:t>
      </w:r>
      <w:r>
        <w:rPr>
          <w:color w:val="000000" w:themeColor="text1"/>
          <w:szCs w:val="20"/>
          <w:highlight w:val="none"/>
          <w:lang w:bidi="en-US"/>
          <w14:textFill>
            <w14:solidFill>
              <w14:schemeClr w14:val="tx1"/>
            </w14:solidFill>
          </w14:textFill>
        </w:rPr>
        <w:t>，</w:t>
      </w:r>
      <w:r>
        <w:rPr>
          <w:color w:val="000000" w:themeColor="text1"/>
          <w:highlight w:val="none"/>
          <w:lang w:bidi="en-US"/>
          <w14:textFill>
            <w14:solidFill>
              <w14:schemeClr w14:val="tx1"/>
            </w14:solidFill>
          </w14:textFill>
        </w:rPr>
        <w:t>操作功能应能正常操作；</w:t>
      </w:r>
    </w:p>
    <w:p>
      <w:pPr>
        <w:pStyle w:val="32"/>
        <w:numPr>
          <w:ilvl w:val="0"/>
          <w:numId w:val="7"/>
        </w:numPr>
        <w:ind w:left="0" w:firstLine="420" w:firstLineChars="200"/>
        <w:jc w:val="both"/>
        <w:outlineLvl w:val="9"/>
        <w:rPr>
          <w:color w:val="000000" w:themeColor="text1"/>
          <w:highlight w:val="none"/>
          <w:lang w:bidi="en-US"/>
          <w14:textFill>
            <w14:solidFill>
              <w14:schemeClr w14:val="tx1"/>
            </w14:solidFill>
          </w14:textFill>
        </w:rPr>
      </w:pPr>
      <w:r>
        <w:rPr>
          <w:color w:val="000000" w:themeColor="text1"/>
          <w:highlight w:val="none"/>
          <w:lang w:bidi="en-US"/>
          <w14:textFill>
            <w14:solidFill>
              <w14:schemeClr w14:val="tx1"/>
            </w14:solidFill>
          </w14:textFill>
        </w:rPr>
        <w:t>应能承受表1规定试验电压值的85%的工频耐压试验；</w:t>
      </w:r>
    </w:p>
    <w:p>
      <w:pPr>
        <w:pStyle w:val="32"/>
        <w:numPr>
          <w:ilvl w:val="0"/>
          <w:numId w:val="7"/>
        </w:numPr>
        <w:ind w:left="0" w:firstLine="420" w:firstLineChars="200"/>
        <w:jc w:val="both"/>
        <w:outlineLvl w:val="9"/>
        <w:rPr>
          <w:color w:val="000000" w:themeColor="text1"/>
          <w:highlight w:val="none"/>
          <w14:textFill>
            <w14:solidFill>
              <w14:schemeClr w14:val="tx1"/>
            </w14:solidFill>
          </w14:textFill>
        </w:rPr>
      </w:pPr>
      <w:r>
        <w:rPr>
          <w:color w:val="000000" w:themeColor="text1"/>
          <w:highlight w:val="none"/>
          <w:lang w:bidi="en-US"/>
          <w14:textFill>
            <w14:solidFill>
              <w14:schemeClr w14:val="tx1"/>
            </w14:solidFill>
          </w14:textFill>
        </w:rPr>
        <w:t>产品的外观不应有严重变化。</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耐霉性</w:t>
      </w:r>
    </w:p>
    <w:p>
      <w:pPr>
        <w:pStyle w:val="33"/>
        <w:numPr>
          <w:ilvl w:val="0"/>
          <w:numId w:val="0"/>
        </w:numPr>
        <w:spacing w:beforeLines="0" w:afterLines="0"/>
        <w:ind w:firstLine="420" w:firstLineChars="200"/>
        <w:outlineLvl w:val="9"/>
        <w:rPr>
          <w:color w:val="000000" w:themeColor="text1"/>
          <w:highlight w:val="none"/>
          <w14:textFill>
            <w14:solidFill>
              <w14:schemeClr w14:val="tx1"/>
            </w14:solidFill>
          </w14:textFill>
        </w:rPr>
      </w:pPr>
      <w:r>
        <w:rPr>
          <w:rFonts w:hint="eastAsia" w:ascii="宋体" w:eastAsia="宋体"/>
          <w:color w:val="000000" w:themeColor="text1"/>
          <w:szCs w:val="20"/>
          <w:highlight w:val="none"/>
          <w:lang w:bidi="en-US"/>
          <w14:textFill>
            <w14:solidFill>
              <w14:schemeClr w14:val="tx1"/>
            </w14:solidFill>
          </w14:textFill>
        </w:rPr>
        <w:t>外露于空气中的绝缘零部件</w:t>
      </w:r>
      <w:r>
        <w:rPr>
          <w:rFonts w:ascii="宋体" w:eastAsia="宋体"/>
          <w:color w:val="000000" w:themeColor="text1"/>
          <w:szCs w:val="20"/>
          <w:highlight w:val="none"/>
          <w:lang w:bidi="en-US"/>
          <w14:textFill>
            <w14:solidFill>
              <w14:schemeClr w14:val="tx1"/>
            </w14:solidFill>
          </w14:textFill>
        </w:rPr>
        <w:t>长霉</w:t>
      </w:r>
      <w:r>
        <w:rPr>
          <w:rFonts w:hint="eastAsia" w:ascii="宋体" w:eastAsia="宋体"/>
          <w:color w:val="000000" w:themeColor="text1"/>
          <w:szCs w:val="20"/>
          <w:highlight w:val="none"/>
          <w:lang w:bidi="en-US"/>
          <w14:textFill>
            <w14:solidFill>
              <w14:schemeClr w14:val="tx1"/>
            </w14:solidFill>
          </w14:textFill>
        </w:rPr>
        <w:t>面积</w:t>
      </w:r>
      <w:r>
        <w:rPr>
          <w:rFonts w:ascii="宋体" w:eastAsia="宋体"/>
          <w:color w:val="000000" w:themeColor="text1"/>
          <w:szCs w:val="20"/>
          <w:highlight w:val="none"/>
          <w:lang w:bidi="en-US"/>
          <w14:textFill>
            <w14:solidFill>
              <w14:schemeClr w14:val="tx1"/>
            </w14:solidFill>
          </w14:textFill>
        </w:rPr>
        <w:t>应</w:t>
      </w:r>
      <w:r>
        <w:rPr>
          <w:rFonts w:hint="eastAsia" w:ascii="宋体" w:eastAsia="宋体"/>
          <w:color w:val="000000" w:themeColor="text1"/>
          <w:szCs w:val="20"/>
          <w:highlight w:val="none"/>
          <w:lang w:bidi="en-US"/>
          <w14:textFill>
            <w14:solidFill>
              <w14:schemeClr w14:val="tx1"/>
            </w14:solidFill>
          </w14:textFill>
        </w:rPr>
        <w:t>不得</w:t>
      </w:r>
      <w:r>
        <w:rPr>
          <w:rFonts w:ascii="宋体" w:eastAsia="宋体"/>
          <w:color w:val="000000" w:themeColor="text1"/>
          <w:szCs w:val="20"/>
          <w:highlight w:val="none"/>
          <w:lang w:bidi="en-US"/>
          <w14:textFill>
            <w14:solidFill>
              <w14:schemeClr w14:val="tx1"/>
            </w14:solidFill>
          </w14:textFill>
        </w:rPr>
        <w:t>高于</w:t>
      </w:r>
      <w:r>
        <w:rPr>
          <w:rFonts w:hint="eastAsia" w:ascii="宋体" w:eastAsia="宋体"/>
          <w:color w:val="000000" w:themeColor="text1"/>
          <w:szCs w:val="20"/>
          <w:highlight w:val="none"/>
          <w:lang w:bidi="en-US"/>
          <w14:textFill>
            <w14:solidFill>
              <w14:schemeClr w14:val="tx1"/>
            </w14:solidFill>
          </w14:textFill>
        </w:rPr>
        <w:t>GB/T 2423.16—2008中</w:t>
      </w:r>
      <w:r>
        <w:rPr>
          <w:rFonts w:ascii="宋体" w:eastAsia="宋体"/>
          <w:color w:val="000000" w:themeColor="text1"/>
          <w:szCs w:val="20"/>
          <w:highlight w:val="none"/>
          <w:lang w:bidi="en-US"/>
          <w14:textFill>
            <w14:solidFill>
              <w14:schemeClr w14:val="tx1"/>
            </w14:solidFill>
          </w14:textFill>
        </w:rPr>
        <w:t>2a的规定。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耐低温</w:t>
      </w:r>
    </w:p>
    <w:p>
      <w:pPr>
        <w:pStyle w:val="33"/>
        <w:numPr>
          <w:ilvl w:val="0"/>
          <w:numId w:val="0"/>
        </w:numPr>
        <w:spacing w:beforeLines="0" w:afterLines="0"/>
        <w:ind w:firstLine="420" w:firstLineChars="200"/>
        <w:outlineLvl w:val="9"/>
        <w:rPr>
          <w:color w:val="000000" w:themeColor="text1"/>
          <w:highlight w:val="none"/>
          <w14:textFill>
            <w14:solidFill>
              <w14:schemeClr w14:val="tx1"/>
            </w14:solidFill>
          </w14:textFill>
        </w:rPr>
      </w:pPr>
      <w:r>
        <w:rPr>
          <w:rFonts w:ascii="宋体" w:eastAsia="宋体"/>
          <w:color w:val="000000" w:themeColor="text1"/>
          <w:szCs w:val="20"/>
          <w:highlight w:val="none"/>
          <w:lang w:bidi="en-US"/>
          <w14:textFill>
            <w14:solidFill>
              <w14:schemeClr w14:val="tx1"/>
            </w14:solidFill>
          </w14:textFill>
        </w:rPr>
        <w:t>海上风电用高压开关柜应能在-45</w:t>
      </w:r>
      <w:r>
        <w:rPr>
          <w:rFonts w:hint="eastAsia" w:ascii="宋体" w:hAnsi="宋体" w:eastAsia="宋体" w:cs="宋体"/>
          <w:color w:val="000000" w:themeColor="text1"/>
          <w:szCs w:val="20"/>
          <w:highlight w:val="none"/>
          <w:lang w:bidi="en-US"/>
          <w14:textFill>
            <w14:solidFill>
              <w14:schemeClr w14:val="tx1"/>
            </w14:solidFill>
          </w14:textFill>
        </w:rPr>
        <w:t>℃</w:t>
      </w:r>
      <w:r>
        <w:rPr>
          <w:rFonts w:ascii="宋体" w:hAnsi="宋体" w:eastAsia="宋体" w:cs="宋体"/>
          <w:color w:val="000000" w:themeColor="text1"/>
          <w:szCs w:val="20"/>
          <w:highlight w:val="none"/>
          <w:lang w:bidi="en-US"/>
          <w14:textFill>
            <w14:solidFill>
              <w14:schemeClr w14:val="tx1"/>
            </w14:solidFill>
          </w14:textFill>
        </w:rPr>
        <w:t>的温度下正常工作。</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振动</w:t>
      </w:r>
    </w:p>
    <w:p>
      <w:pPr>
        <w:pStyle w:val="33"/>
        <w:numPr>
          <w:ilvl w:val="0"/>
          <w:numId w:val="0"/>
        </w:numPr>
        <w:spacing w:beforeLines="0" w:afterLines="0"/>
        <w:ind w:firstLine="420" w:firstLineChars="200"/>
        <w:outlineLvl w:val="9"/>
        <w:rPr>
          <w:rFonts w:hAnsi="宋体" w:eastAsia="宋体" w:cs="宋体"/>
          <w:color w:val="000000" w:themeColor="text1"/>
          <w:highlight w:val="none"/>
          <w14:textFill>
            <w14:solidFill>
              <w14:schemeClr w14:val="tx1"/>
            </w14:solidFill>
          </w14:textFill>
        </w:rPr>
      </w:pPr>
      <w:r>
        <w:rPr>
          <w:rFonts w:ascii="宋体" w:eastAsia="宋体"/>
          <w:color w:val="000000" w:themeColor="text1"/>
          <w:szCs w:val="20"/>
          <w:highlight w:val="none"/>
          <w:lang w:bidi="en-US"/>
          <w14:textFill>
            <w14:solidFill>
              <w14:schemeClr w14:val="tx1"/>
            </w14:solidFill>
          </w14:textFill>
        </w:rPr>
        <w:t>海上风电用高压开关柜振动要求应符合</w:t>
      </w:r>
      <w:r>
        <w:rPr>
          <w:rFonts w:hint="eastAsia" w:ascii="宋体" w:eastAsia="宋体"/>
          <w:color w:val="000000" w:themeColor="text1"/>
          <w:szCs w:val="20"/>
          <w:highlight w:val="none"/>
          <w:lang w:bidi="en-US"/>
          <w14:textFill>
            <w14:solidFill>
              <w14:schemeClr w14:val="tx1"/>
            </w14:solidFill>
          </w14:textFill>
        </w:rPr>
        <w:t>GB/T 2423.10</w:t>
      </w:r>
      <w:r>
        <w:rPr>
          <w:rFonts w:ascii="宋体" w:eastAsia="宋体"/>
          <w:color w:val="000000" w:themeColor="text1"/>
          <w:szCs w:val="20"/>
          <w:highlight w:val="none"/>
          <w:lang w:bidi="en-US"/>
          <w14:textFill>
            <w14:solidFill>
              <w14:schemeClr w14:val="tx1"/>
            </w14:solidFill>
          </w14:textFill>
        </w:rPr>
        <w:t>的规定，</w:t>
      </w:r>
      <w:r>
        <w:rPr>
          <w:rFonts w:hint="eastAsia" w:hAnsi="宋体" w:eastAsia="宋体" w:cs="宋体"/>
          <w:color w:val="000000" w:themeColor="text1"/>
          <w:highlight w:val="none"/>
          <w14:textFill>
            <w14:solidFill>
              <w14:schemeClr w14:val="tx1"/>
            </w14:solidFill>
          </w14:textFill>
        </w:rPr>
        <w:t>并作以下补充：</w:t>
      </w:r>
    </w:p>
    <w:p>
      <w:pPr>
        <w:pStyle w:val="33"/>
        <w:numPr>
          <w:ilvl w:val="0"/>
          <w:numId w:val="0"/>
        </w:numPr>
        <w:spacing w:beforeLines="0" w:afterLines="0"/>
        <w:ind w:firstLine="420" w:firstLineChars="200"/>
        <w:outlineLvl w:val="9"/>
        <w:rPr>
          <w:rFonts w:ascii="宋体" w:eastAsia="宋体"/>
          <w:color w:val="000000" w:themeColor="text1"/>
          <w:szCs w:val="20"/>
          <w:highlight w:val="none"/>
          <w:lang w:bidi="en-US"/>
          <w14:textFill>
            <w14:solidFill>
              <w14:schemeClr w14:val="tx1"/>
            </w14:solidFill>
          </w14:textFill>
        </w:rPr>
      </w:pPr>
      <w:r>
        <w:rPr>
          <w:rFonts w:ascii="宋体" w:eastAsia="宋体"/>
          <w:color w:val="000000" w:themeColor="text1"/>
          <w:szCs w:val="20"/>
          <w:highlight w:val="none"/>
          <w:lang w:bidi="en-US"/>
          <w14:textFill>
            <w14:solidFill>
              <w14:schemeClr w14:val="tx1"/>
            </w14:solidFill>
          </w14:textFill>
        </w:rPr>
        <w:t>试验后，海上风电用高压开关柜断路器、隔离开关进行5次分合操作，其可正常使用。</w:t>
      </w:r>
    </w:p>
    <w:p>
      <w:pPr>
        <w:pStyle w:val="33"/>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局部放电</w:t>
      </w:r>
      <w:r>
        <w:rPr>
          <w:color w:val="000000" w:themeColor="text1"/>
          <w:highlight w:val="none"/>
          <w14:textFill>
            <w14:solidFill>
              <w14:schemeClr w14:val="tx1"/>
            </w14:solidFill>
          </w14:textFill>
        </w:rPr>
        <w:t>测量</w:t>
      </w:r>
    </w:p>
    <w:p>
      <w:pPr>
        <w:pStyle w:val="26"/>
        <w:rPr>
          <w:rFonts w:hAnsi="宋体" w:eastAsia="宋体" w:cs="宋体"/>
          <w:color w:val="000000" w:themeColor="text1"/>
          <w:highlight w:val="none"/>
          <w14:textFill>
            <w14:solidFill>
              <w14:schemeClr w14:val="tx1"/>
            </w14:solidFill>
          </w14:textFill>
        </w:rPr>
      </w:pPr>
      <w:r>
        <w:rPr>
          <w:rFonts w:hint="eastAsia" w:hAnsi="宋体" w:eastAsia="宋体" w:cs="宋体"/>
          <w:color w:val="000000" w:themeColor="text1"/>
          <w:highlight w:val="none"/>
          <w14:textFill>
            <w14:solidFill>
              <w14:schemeClr w14:val="tx1"/>
            </w14:solidFill>
          </w14:textFill>
        </w:rPr>
        <w:t>按GB/T 3906</w:t>
      </w:r>
      <w:r>
        <w:rPr>
          <w:rFonts w:hAnsi="宋体" w:eastAsia="宋体" w:cs="宋体"/>
          <w:color w:val="000000" w:themeColor="text1"/>
          <w:highlight w:val="none"/>
          <w14:textFill>
            <w14:solidFill>
              <w14:schemeClr w14:val="tx1"/>
            </w14:solidFill>
          </w14:textFill>
        </w:rPr>
        <w:t>—</w:t>
      </w:r>
      <w:r>
        <w:rPr>
          <w:rFonts w:hint="eastAsia" w:hAnsi="宋体" w:eastAsia="宋体" w:cs="宋体"/>
          <w:color w:val="000000" w:themeColor="text1"/>
          <w:highlight w:val="none"/>
          <w14:textFill>
            <w14:solidFill>
              <w14:schemeClr w14:val="tx1"/>
            </w14:solidFill>
          </w14:textFill>
        </w:rPr>
        <w:t>2020中</w:t>
      </w:r>
      <w:r>
        <w:rPr>
          <w:rFonts w:hAnsi="宋体" w:eastAsia="宋体" w:cs="宋体"/>
          <w:color w:val="000000" w:themeColor="text1"/>
          <w:highlight w:val="none"/>
          <w14:textFill>
            <w14:solidFill>
              <w14:schemeClr w14:val="tx1"/>
            </w14:solidFill>
          </w14:textFill>
        </w:rPr>
        <w:t>8</w:t>
      </w:r>
      <w:r>
        <w:rPr>
          <w:rFonts w:hint="eastAsia" w:hAnsi="宋体" w:eastAsia="宋体" w:cs="宋体"/>
          <w:color w:val="000000" w:themeColor="text1"/>
          <w:highlight w:val="none"/>
          <w14:textFill>
            <w14:solidFill>
              <w14:schemeClr w14:val="tx1"/>
            </w14:solidFill>
          </w14:textFill>
        </w:rPr>
        <w:t>.10</w:t>
      </w:r>
      <w:r>
        <w:rPr>
          <w:rFonts w:hAnsi="宋体" w:eastAsia="宋体" w:cs="宋体"/>
          <w:color w:val="000000" w:themeColor="text1"/>
          <w:highlight w:val="none"/>
          <w14:textFill>
            <w14:solidFill>
              <w14:schemeClr w14:val="tx1"/>
            </w14:solidFill>
          </w14:textFill>
        </w:rPr>
        <w:t>1</w:t>
      </w:r>
      <w:r>
        <w:rPr>
          <w:rFonts w:hint="eastAsia" w:hAnsi="宋体" w:eastAsia="宋体" w:cs="宋体"/>
          <w:color w:val="000000" w:themeColor="text1"/>
          <w:highlight w:val="none"/>
          <w14:textFill>
            <w14:solidFill>
              <w14:schemeClr w14:val="tx1"/>
            </w14:solidFill>
          </w14:textFill>
        </w:rPr>
        <w:t>条规定。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主回路电阻的测量</w:t>
      </w:r>
    </w:p>
    <w:p>
      <w:pPr>
        <w:pStyle w:val="26"/>
        <w:rPr>
          <w:color w:val="000000" w:themeColor="text1"/>
          <w:highlight w:val="none"/>
          <w14:textFill>
            <w14:solidFill>
              <w14:schemeClr w14:val="tx1"/>
            </w14:solidFill>
          </w14:textFill>
        </w:rPr>
      </w:pPr>
      <w:r>
        <w:rPr>
          <w:rFonts w:hAnsi="宋体" w:eastAsia="宋体"/>
          <w:color w:val="000000" w:themeColor="text1"/>
          <w:highlight w:val="none"/>
          <w14:textFill>
            <w14:solidFill>
              <w14:schemeClr w14:val="tx1"/>
            </w14:solidFill>
          </w14:textFill>
        </w:rPr>
        <w:t>应符合GB/T 11022—2020中7.4和</w:t>
      </w:r>
      <w:r>
        <w:rPr>
          <w:rFonts w:hAnsi="宋体" w:eastAsia="宋体" w:cs="宋体"/>
          <w:color w:val="000000" w:themeColor="text1"/>
          <w:highlight w:val="none"/>
          <w14:textFill>
            <w14:solidFill>
              <w14:schemeClr w14:val="tx1"/>
            </w14:solidFill>
          </w14:textFill>
        </w:rPr>
        <w:t>GB/T 3906—2020中8.4</w:t>
      </w:r>
      <w:r>
        <w:rPr>
          <w:rFonts w:hAnsi="宋体" w:eastAsia="宋体"/>
          <w:color w:val="000000" w:themeColor="text1"/>
          <w:highlight w:val="none"/>
          <w14:textFill>
            <w14:solidFill>
              <w14:schemeClr w14:val="tx1"/>
            </w14:solidFill>
          </w14:textFill>
        </w:rPr>
        <w:t>的规定</w:t>
      </w:r>
      <w:r>
        <w:rPr>
          <w:rFonts w:hAnsi="宋体" w:eastAsia="宋体" w:cs="宋体"/>
          <w:color w:val="000000" w:themeColor="text1"/>
          <w:highlight w:val="none"/>
          <w14:textFill>
            <w14:solidFill>
              <w14:schemeClr w14:val="tx1"/>
            </w14:solidFill>
          </w14:textFill>
        </w:rPr>
        <w:t>。</w:t>
      </w:r>
    </w:p>
    <w:p>
      <w:pPr>
        <w:pStyle w:val="33"/>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机械寿命</w:t>
      </w:r>
    </w:p>
    <w:p>
      <w:pPr>
        <w:pStyle w:val="33"/>
        <w:numPr>
          <w:ilvl w:val="2"/>
          <w:numId w:val="0"/>
        </w:numPr>
        <w:spacing w:before="156" w:after="156"/>
        <w:ind w:firstLine="315" w:firstLineChars="150"/>
        <w:rPr>
          <w:rFonts w:hAnsi="宋体" w:eastAsia="宋体" w:cs="宋体"/>
          <w:color w:val="000000" w:themeColor="text1"/>
          <w:highlight w:val="none"/>
          <w14:textFill>
            <w14:solidFill>
              <w14:schemeClr w14:val="tx1"/>
            </w14:solidFill>
          </w14:textFill>
        </w:rPr>
      </w:pPr>
      <w:r>
        <w:rPr>
          <w:rFonts w:ascii="宋体" w:eastAsia="宋体"/>
          <w:color w:val="000000" w:themeColor="text1"/>
          <w:szCs w:val="20"/>
          <w:highlight w:val="none"/>
          <w:lang w:bidi="en-US"/>
          <w14:textFill>
            <w14:solidFill>
              <w14:schemeClr w14:val="tx1"/>
            </w14:solidFill>
          </w14:textFill>
        </w:rPr>
        <w:t>海上风电用高压开关柜</w:t>
      </w:r>
      <w:r>
        <w:rPr>
          <w:rFonts w:hAnsi="宋体" w:eastAsia="宋体" w:cs="宋体"/>
          <w:color w:val="000000" w:themeColor="text1"/>
          <w:highlight w:val="none"/>
          <w14:textFill>
            <w14:solidFill>
              <w14:schemeClr w14:val="tx1"/>
            </w14:solidFill>
          </w14:textFill>
        </w:rPr>
        <w:t>的</w:t>
      </w:r>
      <w:r>
        <w:rPr>
          <w:rFonts w:hint="eastAsia" w:hAnsi="宋体" w:eastAsia="宋体" w:cs="宋体"/>
          <w:color w:val="000000" w:themeColor="text1"/>
          <w:highlight w:val="none"/>
          <w14:textFill>
            <w14:solidFill>
              <w14:schemeClr w14:val="tx1"/>
            </w14:solidFill>
          </w14:textFill>
        </w:rPr>
        <w:t>机械寿命应符合表</w:t>
      </w:r>
      <w:r>
        <w:rPr>
          <w:rFonts w:hint="eastAsia" w:ascii="宋体" w:hAnsi="宋体" w:eastAsia="宋体" w:cs="宋体"/>
          <w:color w:val="000000" w:themeColor="text1"/>
          <w:highlight w:val="none"/>
          <w14:textFill>
            <w14:solidFill>
              <w14:schemeClr w14:val="tx1"/>
            </w14:solidFill>
          </w14:textFill>
        </w:rPr>
        <w:t>3的</w:t>
      </w:r>
      <w:r>
        <w:rPr>
          <w:rFonts w:hAnsi="宋体" w:eastAsia="宋体" w:cs="宋体"/>
          <w:color w:val="000000" w:themeColor="text1"/>
          <w:highlight w:val="none"/>
          <w14:textFill>
            <w14:solidFill>
              <w14:schemeClr w14:val="tx1"/>
            </w14:solidFill>
          </w14:textFill>
        </w:rPr>
        <w:t>要求。</w:t>
      </w:r>
    </w:p>
    <w:p>
      <w:pPr>
        <w:pStyle w:val="35"/>
        <w:spacing w:before="156" w:after="156"/>
        <w:jc w:val="both"/>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机械寿命要求</w:t>
      </w:r>
    </w:p>
    <w:tbl>
      <w:tblPr>
        <w:tblStyle w:val="13"/>
        <w:tblW w:w="4996" w:type="pct"/>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28" w:type="dxa"/>
          <w:bottom w:w="0" w:type="dxa"/>
          <w:right w:w="28" w:type="dxa"/>
        </w:tblCellMar>
      </w:tblPr>
      <w:tblGrid>
        <w:gridCol w:w="1350"/>
        <w:gridCol w:w="3672"/>
        <w:gridCol w:w="4381"/>
      </w:tblGrid>
      <w:tr>
        <w:trPr>
          <w:trHeight w:val="622" w:hRule="atLeast"/>
        </w:trPr>
        <w:tc>
          <w:tcPr>
            <w:tcW w:w="718" w:type="pct"/>
            <w:tcBorders>
              <w:top w:val="single" w:color="auto" w:sz="8" w:space="0"/>
              <w:bottom w:val="single" w:color="auto" w:sz="8" w:space="0"/>
            </w:tcBorders>
            <w:vAlign w:val="center"/>
          </w:tcPr>
          <w:p>
            <w:pPr>
              <w:pStyle w:val="26"/>
              <w:snapToGrid w:val="0"/>
              <w:ind w:firstLine="0" w:firstLineChars="0"/>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hint="eastAsia" w:asciiTheme="minorEastAsia" w:hAnsiTheme="minorEastAsia" w:cstheme="minorEastAsia"/>
                <w:color w:val="000000" w:themeColor="text1"/>
                <w:sz w:val="18"/>
                <w:szCs w:val="18"/>
                <w:highlight w:val="none"/>
                <w14:textFill>
                  <w14:solidFill>
                    <w14:schemeClr w14:val="tx1"/>
                  </w14:solidFill>
                </w14:textFill>
              </w:rPr>
              <w:t>序号</w:t>
            </w:r>
          </w:p>
        </w:tc>
        <w:tc>
          <w:tcPr>
            <w:tcW w:w="1952" w:type="pct"/>
            <w:tcBorders>
              <w:top w:val="single" w:color="auto" w:sz="8" w:space="0"/>
              <w:bottom w:val="single" w:color="auto" w:sz="8" w:space="0"/>
            </w:tcBorders>
            <w:vAlign w:val="center"/>
          </w:tcPr>
          <w:p>
            <w:pPr>
              <w:pStyle w:val="34"/>
              <w:numPr>
                <w:ilvl w:val="0"/>
                <w:numId w:val="0"/>
              </w:numPr>
              <w:spacing w:beforeLines="0" w:afterLines="0"/>
              <w:ind w:firstLine="1620" w:firstLineChars="900"/>
              <w:jc w:val="both"/>
              <w:rPr>
                <w:rFonts w:asciiTheme="minorEastAsia" w:hAnsiTheme="minorEastAsia" w:eastAsiaTheme="minorEastAsia" w:cstheme="minorEastAsia"/>
                <w:color w:val="000000" w:themeColor="text1"/>
                <w:sz w:val="18"/>
                <w:szCs w:val="18"/>
                <w:highlight w:val="none"/>
                <w14:textFill>
                  <w14:solidFill>
                    <w14:schemeClr w14:val="tx1"/>
                  </w14:solidFill>
                </w14:textFill>
              </w:rPr>
            </w:pPr>
            <w:r>
              <w:rPr>
                <w:rFonts w:asciiTheme="minorEastAsia" w:hAnsiTheme="minorEastAsia" w:eastAsiaTheme="minorEastAsia" w:cstheme="minorEastAsia"/>
                <w:color w:val="000000" w:themeColor="text1"/>
                <w:sz w:val="18"/>
                <w:szCs w:val="18"/>
                <w:highlight w:val="none"/>
                <w14:textFill>
                  <w14:solidFill>
                    <w14:schemeClr w14:val="tx1"/>
                  </w14:solidFill>
                </w14:textFill>
              </w:rPr>
              <w:t>部件</w:t>
            </w:r>
          </w:p>
        </w:tc>
        <w:tc>
          <w:tcPr>
            <w:tcW w:w="2329" w:type="pct"/>
            <w:tcBorders>
              <w:top w:val="single" w:color="auto" w:sz="8" w:space="0"/>
              <w:bottom w:val="single" w:color="auto" w:sz="8" w:space="0"/>
            </w:tcBorders>
            <w:vAlign w:val="center"/>
          </w:tcPr>
          <w:p>
            <w:pPr>
              <w:pStyle w:val="34"/>
              <w:numPr>
                <w:ilvl w:val="0"/>
                <w:numId w:val="0"/>
              </w:numPr>
              <w:spacing w:beforeLines="0" w:afterLines="0"/>
              <w:ind w:firstLine="1710" w:firstLineChars="950"/>
              <w:jc w:val="both"/>
              <w:rPr>
                <w:color w:val="000000" w:themeColor="text1"/>
                <w:highlight w:val="none"/>
                <w14:textFill>
                  <w14:solidFill>
                    <w14:schemeClr w14:val="tx1"/>
                  </w14:solidFill>
                </w14:textFill>
              </w:rPr>
            </w:pPr>
            <w:r>
              <w:rPr>
                <w:rFonts w:asciiTheme="minorEastAsia" w:hAnsiTheme="minorEastAsia" w:eastAsiaTheme="minorEastAsia" w:cstheme="minorEastAsia"/>
                <w:color w:val="000000" w:themeColor="text1"/>
                <w:sz w:val="18"/>
                <w:szCs w:val="18"/>
                <w:highlight w:val="none"/>
                <w14:textFill>
                  <w14:solidFill>
                    <w14:schemeClr w14:val="tx1"/>
                  </w14:solidFill>
                </w14:textFill>
              </w:rPr>
              <w:t>操作循环次数</w:t>
            </w:r>
          </w:p>
        </w:tc>
      </w:tr>
      <w:tr>
        <w:trPr>
          <w:trHeight w:val="577" w:hRule="atLeast"/>
        </w:trPr>
        <w:tc>
          <w:tcPr>
            <w:tcW w:w="718" w:type="pct"/>
            <w:vAlign w:val="center"/>
          </w:tcPr>
          <w:p>
            <w:pPr>
              <w:pStyle w:val="26"/>
              <w:snapToGrid w:val="0"/>
              <w:ind w:firstLine="0" w:firstLineChars="0"/>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hint="eastAsia" w:asciiTheme="minorEastAsia" w:hAnsiTheme="minorEastAsia" w:cstheme="minorEastAsia"/>
                <w:color w:val="000000" w:themeColor="text1"/>
                <w:sz w:val="18"/>
                <w:szCs w:val="18"/>
                <w:highlight w:val="none"/>
                <w14:textFill>
                  <w14:solidFill>
                    <w14:schemeClr w14:val="tx1"/>
                  </w14:solidFill>
                </w14:textFill>
              </w:rPr>
              <w:t>1</w:t>
            </w:r>
          </w:p>
        </w:tc>
        <w:tc>
          <w:tcPr>
            <w:tcW w:w="1952" w:type="pct"/>
            <w:vAlign w:val="center"/>
          </w:tcPr>
          <w:p>
            <w:pPr>
              <w:pStyle w:val="34"/>
              <w:numPr>
                <w:ilvl w:val="0"/>
                <w:numId w:val="0"/>
              </w:numPr>
              <w:spacing w:beforeLines="0" w:afterLines="0"/>
              <w:jc w:val="center"/>
              <w:rPr>
                <w:rFonts w:asciiTheme="minorEastAsia" w:hAnsiTheme="minorEastAsia" w:eastAsiaTheme="minorEastAsia" w:cstheme="minorEastAsia"/>
                <w:color w:val="000000" w:themeColor="text1"/>
                <w:sz w:val="18"/>
                <w:szCs w:val="18"/>
                <w:highlight w:val="none"/>
                <w14:textFill>
                  <w14:solidFill>
                    <w14:schemeClr w14:val="tx1"/>
                  </w14:solidFill>
                </w14:textFill>
              </w:rPr>
            </w:pPr>
            <w:r>
              <w:rPr>
                <w:rFonts w:asciiTheme="minorEastAsia" w:hAnsiTheme="minorEastAsia" w:eastAsiaTheme="minorEastAsia" w:cstheme="minorEastAsia"/>
                <w:color w:val="000000" w:themeColor="text1"/>
                <w:sz w:val="18"/>
                <w:szCs w:val="18"/>
                <w:highlight w:val="none"/>
                <w14:textFill>
                  <w14:solidFill>
                    <w14:schemeClr w14:val="tx1"/>
                  </w14:solidFill>
                </w14:textFill>
              </w:rPr>
              <w:t>三工位</w:t>
            </w:r>
            <w:r>
              <w:rPr>
                <w:rFonts w:hint="eastAsia" w:asciiTheme="minorEastAsia" w:hAnsiTheme="minorEastAsia" w:eastAsiaTheme="minorEastAsia" w:cstheme="minorEastAsia"/>
                <w:color w:val="000000" w:themeColor="text1"/>
                <w:sz w:val="18"/>
                <w:szCs w:val="18"/>
                <w:highlight w:val="none"/>
                <w14:textFill>
                  <w14:solidFill>
                    <w14:schemeClr w14:val="tx1"/>
                  </w14:solidFill>
                </w14:textFill>
              </w:rPr>
              <w:t>隔离开关</w:t>
            </w:r>
          </w:p>
        </w:tc>
        <w:tc>
          <w:tcPr>
            <w:tcW w:w="2329" w:type="pct"/>
            <w:vAlign w:val="center"/>
          </w:tcPr>
          <w:p>
            <w:pPr>
              <w:pStyle w:val="34"/>
              <w:numPr>
                <w:ilvl w:val="0"/>
                <w:numId w:val="0"/>
              </w:numPr>
              <w:spacing w:beforeLines="0" w:afterLines="0"/>
              <w:jc w:val="center"/>
              <w:rPr>
                <w:rFonts w:asciiTheme="minorEastAsia" w:hAnsiTheme="minorEastAsia" w:eastAsiaTheme="minorEastAsia" w:cstheme="minorEastAsia"/>
                <w:color w:val="000000" w:themeColor="text1"/>
                <w:sz w:val="18"/>
                <w:szCs w:val="18"/>
                <w:highlight w:val="none"/>
                <w14:textFill>
                  <w14:solidFill>
                    <w14:schemeClr w14:val="tx1"/>
                  </w14:solidFill>
                </w14:textFill>
              </w:rPr>
            </w:pPr>
            <w:r>
              <w:rPr>
                <w:rFonts w:hint="eastAsia" w:asciiTheme="minorEastAsia" w:hAnsiTheme="minorEastAsia" w:eastAsiaTheme="minorEastAsia" w:cstheme="minorEastAsia"/>
                <w:color w:val="000000" w:themeColor="text1"/>
                <w:sz w:val="18"/>
                <w:szCs w:val="18"/>
                <w:highlight w:val="none"/>
                <w14:textFill>
                  <w14:solidFill>
                    <w14:schemeClr w14:val="tx1"/>
                  </w14:solidFill>
                </w14:textFill>
              </w:rPr>
              <w:t>≧</w:t>
            </w:r>
            <w:r>
              <w:rPr>
                <w:rFonts w:asciiTheme="minorEastAsia" w:hAnsiTheme="minorEastAsia" w:eastAsiaTheme="minorEastAsia" w:cstheme="minorEastAsia"/>
                <w:color w:val="000000" w:themeColor="text1"/>
                <w:sz w:val="18"/>
                <w:szCs w:val="18"/>
                <w:highlight w:val="none"/>
                <w14:textFill>
                  <w14:solidFill>
                    <w14:schemeClr w14:val="tx1"/>
                  </w14:solidFill>
                </w14:textFill>
              </w:rPr>
              <w:t>5</w:t>
            </w:r>
            <w:r>
              <w:rPr>
                <w:rFonts w:hint="eastAsia" w:asciiTheme="minorEastAsia" w:hAnsiTheme="minorEastAsia" w:eastAsiaTheme="minorEastAsia" w:cstheme="minorEastAsia"/>
                <w:color w:val="000000" w:themeColor="text1"/>
                <w:sz w:val="18"/>
                <w:szCs w:val="18"/>
                <w:highlight w:val="none"/>
                <w14:textFill>
                  <w14:solidFill>
                    <w14:schemeClr w14:val="tx1"/>
                  </w14:solidFill>
                </w14:textFill>
              </w:rPr>
              <w:t>000</w:t>
            </w:r>
            <w:r>
              <w:rPr>
                <w:rFonts w:asciiTheme="minorEastAsia" w:hAnsiTheme="minorEastAsia" w:eastAsiaTheme="minorEastAsia" w:cstheme="minorEastAsia"/>
                <w:color w:val="000000" w:themeColor="text1"/>
                <w:sz w:val="18"/>
                <w:szCs w:val="18"/>
                <w:highlight w:val="none"/>
                <w14:textFill>
                  <w14:solidFill>
                    <w14:schemeClr w14:val="tx1"/>
                  </w14:solidFill>
                </w14:textFill>
              </w:rPr>
              <w:t>次</w:t>
            </w:r>
          </w:p>
        </w:tc>
      </w:tr>
      <w:tr>
        <w:trPr>
          <w:trHeight w:val="577" w:hRule="atLeast"/>
        </w:trPr>
        <w:tc>
          <w:tcPr>
            <w:tcW w:w="718" w:type="pct"/>
            <w:vAlign w:val="center"/>
          </w:tcPr>
          <w:p>
            <w:pPr>
              <w:pStyle w:val="26"/>
              <w:snapToGrid w:val="0"/>
              <w:ind w:firstLine="0" w:firstLineChars="0"/>
              <w:jc w:val="center"/>
              <w:rPr>
                <w:rFonts w:asciiTheme="minorEastAsia" w:hAnsiTheme="minorEastAsia" w:cstheme="minorEastAsia"/>
                <w:color w:val="000000" w:themeColor="text1"/>
                <w:sz w:val="18"/>
                <w:szCs w:val="18"/>
                <w:highlight w:val="none"/>
                <w14:textFill>
                  <w14:solidFill>
                    <w14:schemeClr w14:val="tx1"/>
                  </w14:solidFill>
                </w14:textFill>
              </w:rPr>
            </w:pPr>
            <w:r>
              <w:rPr>
                <w:rFonts w:hint="eastAsia" w:asciiTheme="minorEastAsia" w:hAnsiTheme="minorEastAsia" w:cstheme="minorEastAsia"/>
                <w:color w:val="000000" w:themeColor="text1"/>
                <w:sz w:val="18"/>
                <w:szCs w:val="18"/>
                <w:highlight w:val="none"/>
                <w14:textFill>
                  <w14:solidFill>
                    <w14:schemeClr w14:val="tx1"/>
                  </w14:solidFill>
                </w14:textFill>
              </w:rPr>
              <w:t>2</w:t>
            </w:r>
          </w:p>
        </w:tc>
        <w:tc>
          <w:tcPr>
            <w:tcW w:w="1952" w:type="pct"/>
            <w:vAlign w:val="center"/>
          </w:tcPr>
          <w:p>
            <w:pPr>
              <w:pStyle w:val="34"/>
              <w:numPr>
                <w:ilvl w:val="0"/>
                <w:numId w:val="0"/>
              </w:numPr>
              <w:spacing w:beforeLines="0" w:afterLines="0"/>
              <w:jc w:val="center"/>
              <w:rPr>
                <w:rFonts w:asciiTheme="minorEastAsia" w:hAnsiTheme="minorEastAsia" w:eastAsiaTheme="minorEastAsia" w:cstheme="minorEastAsia"/>
                <w:color w:val="000000" w:themeColor="text1"/>
                <w:sz w:val="18"/>
                <w:szCs w:val="18"/>
                <w:highlight w:val="none"/>
                <w14:textFill>
                  <w14:solidFill>
                    <w14:schemeClr w14:val="tx1"/>
                  </w14:solidFill>
                </w14:textFill>
              </w:rPr>
            </w:pPr>
            <w:r>
              <w:rPr>
                <w:rFonts w:asciiTheme="minorEastAsia" w:hAnsiTheme="minorEastAsia" w:eastAsiaTheme="minorEastAsia" w:cstheme="minorEastAsia"/>
                <w:color w:val="000000" w:themeColor="text1"/>
                <w:sz w:val="18"/>
                <w:szCs w:val="18"/>
                <w:highlight w:val="none"/>
                <w14:textFill>
                  <w14:solidFill>
                    <w14:schemeClr w14:val="tx1"/>
                  </w14:solidFill>
                </w14:textFill>
              </w:rPr>
              <w:t>接地开关</w:t>
            </w:r>
          </w:p>
        </w:tc>
        <w:tc>
          <w:tcPr>
            <w:tcW w:w="2329" w:type="pct"/>
            <w:vAlign w:val="center"/>
          </w:tcPr>
          <w:p>
            <w:pPr>
              <w:pStyle w:val="34"/>
              <w:numPr>
                <w:ilvl w:val="0"/>
                <w:numId w:val="0"/>
              </w:numPr>
              <w:spacing w:beforeLines="0" w:afterLines="0"/>
              <w:jc w:val="center"/>
              <w:rPr>
                <w:rFonts w:asciiTheme="minorEastAsia" w:hAnsiTheme="minorEastAsia" w:eastAsiaTheme="minorEastAsia" w:cstheme="minorEastAsia"/>
                <w:color w:val="000000" w:themeColor="text1"/>
                <w:sz w:val="18"/>
                <w:szCs w:val="18"/>
                <w:highlight w:val="none"/>
                <w14:textFill>
                  <w14:solidFill>
                    <w14:schemeClr w14:val="tx1"/>
                  </w14:solidFill>
                </w14:textFill>
              </w:rPr>
            </w:pPr>
            <w:r>
              <w:rPr>
                <w:rFonts w:hint="eastAsia" w:asciiTheme="minorEastAsia" w:hAnsiTheme="minorEastAsia" w:eastAsiaTheme="minorEastAsia" w:cstheme="minorEastAsia"/>
                <w:color w:val="000000" w:themeColor="text1"/>
                <w:sz w:val="18"/>
                <w:szCs w:val="18"/>
                <w:highlight w:val="none"/>
                <w14:textFill>
                  <w14:solidFill>
                    <w14:schemeClr w14:val="tx1"/>
                  </w14:solidFill>
                </w14:textFill>
              </w:rPr>
              <w:t>≧5000</w:t>
            </w:r>
            <w:r>
              <w:rPr>
                <w:rFonts w:asciiTheme="minorEastAsia" w:hAnsiTheme="minorEastAsia" w:eastAsiaTheme="minorEastAsia" w:cstheme="minorEastAsia"/>
                <w:color w:val="000000" w:themeColor="text1"/>
                <w:sz w:val="18"/>
                <w:szCs w:val="18"/>
                <w:highlight w:val="none"/>
                <w14:textFill>
                  <w14:solidFill>
                    <w14:schemeClr w14:val="tx1"/>
                  </w14:solidFill>
                </w14:textFill>
              </w:rPr>
              <w:t>次</w:t>
            </w:r>
          </w:p>
        </w:tc>
      </w:tr>
    </w:tbl>
    <w:p>
      <w:pPr>
        <w:pStyle w:val="26"/>
        <w:rPr>
          <w:color w:val="000000" w:themeColor="text1"/>
          <w:highlight w:val="none"/>
          <w14:textFill>
            <w14:solidFill>
              <w14:schemeClr w14:val="tx1"/>
            </w14:solidFill>
          </w14:textFill>
        </w:rPr>
      </w:pPr>
    </w:p>
    <w:p>
      <w:pPr>
        <w:pStyle w:val="33"/>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充气隔室的压力耐受试验和气体状态测量</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3906—2020中7.103的规定。</w:t>
      </w:r>
    </w:p>
    <w:p>
      <w:pPr>
        <w:pStyle w:val="34"/>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功能要求</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气体泄漏报警</w:t>
      </w:r>
    </w:p>
    <w:p>
      <w:pPr>
        <w:pStyle w:val="2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在发生气体泄漏的情况下，海上风电用高压开关柜应具有气体泄漏报警功能，且报警信号可输出。</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电缆插件温度信号（若适用）</w:t>
      </w:r>
    </w:p>
    <w:p>
      <w:pPr>
        <w:pStyle w:val="2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海上风电用高压开关柜应具有电缆插件温度信号功能，且温度信号可输出。</w:t>
      </w:r>
    </w:p>
    <w:p>
      <w:pPr>
        <w:pStyle w:val="33"/>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电缆接插件局</w:t>
      </w:r>
      <w:r>
        <w:rPr>
          <w:color w:val="000000" w:themeColor="text1"/>
          <w:highlight w:val="none"/>
          <w14:textFill>
            <w14:solidFill>
              <w14:schemeClr w14:val="tx1"/>
            </w14:solidFill>
          </w14:textFill>
        </w:rPr>
        <w:t>部</w:t>
      </w:r>
      <w:r>
        <w:rPr>
          <w:rFonts w:hint="eastAsia"/>
          <w:color w:val="000000" w:themeColor="text1"/>
          <w:highlight w:val="none"/>
          <w14:textFill>
            <w14:solidFill>
              <w14:schemeClr w14:val="tx1"/>
            </w14:solidFill>
          </w14:textFill>
        </w:rPr>
        <w:t>放</w:t>
      </w:r>
      <w:r>
        <w:rPr>
          <w:color w:val="000000" w:themeColor="text1"/>
          <w:highlight w:val="none"/>
          <w14:textFill>
            <w14:solidFill>
              <w14:schemeClr w14:val="tx1"/>
            </w14:solidFill>
          </w14:textFill>
        </w:rPr>
        <w:t>电量</w:t>
      </w:r>
      <w:r>
        <w:rPr>
          <w:rFonts w:hint="eastAsia"/>
          <w:color w:val="000000" w:themeColor="text1"/>
          <w:highlight w:val="none"/>
          <w14:textFill>
            <w14:solidFill>
              <w14:schemeClr w14:val="tx1"/>
            </w14:solidFill>
          </w14:textFill>
        </w:rPr>
        <w:t>信号</w:t>
      </w:r>
      <w:r>
        <w:rPr>
          <w:color w:val="000000" w:themeColor="text1"/>
          <w:highlight w:val="none"/>
          <w14:textFill>
            <w14:solidFill>
              <w14:schemeClr w14:val="tx1"/>
            </w14:solidFill>
          </w14:textFill>
        </w:rPr>
        <w:t>（若适用）</w:t>
      </w:r>
    </w:p>
    <w:p>
      <w:pPr>
        <w:pStyle w:val="2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海上风电用高压开关柜应具有电缆接插件局部放电量信号功能，且局部放电量信号可输出。</w:t>
      </w:r>
    </w:p>
    <w:p>
      <w:pPr>
        <w:pStyle w:val="33"/>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电缆室弧光保护信号</w:t>
      </w:r>
      <w:r>
        <w:rPr>
          <w:color w:val="000000" w:themeColor="text1"/>
          <w:highlight w:val="none"/>
          <w14:textFill>
            <w14:solidFill>
              <w14:schemeClr w14:val="tx1"/>
            </w14:solidFill>
          </w14:textFill>
        </w:rPr>
        <w:t>（若适用）</w:t>
      </w:r>
    </w:p>
    <w:p>
      <w:pPr>
        <w:pStyle w:val="2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海上风电用高压开关柜应具有电缆室弧光保护信号功能，且弧光保护信号功能可输出。</w:t>
      </w:r>
    </w:p>
    <w:p>
      <w:pPr>
        <w:pStyle w:val="31"/>
        <w:spacing w:before="312" w:after="312"/>
        <w:outlineLvl w:val="0"/>
        <w:rPr>
          <w:color w:val="000000" w:themeColor="text1"/>
          <w:highlight w:val="none"/>
          <w14:textFill>
            <w14:solidFill>
              <w14:schemeClr w14:val="tx1"/>
            </w14:solidFill>
          </w14:textFill>
        </w:rPr>
      </w:pPr>
      <w:bookmarkStart w:id="122" w:name="_Toc767522948"/>
      <w:bookmarkStart w:id="123" w:name="_Toc27304_WPSOffice_Level1"/>
      <w:bookmarkStart w:id="124" w:name="_Toc30373"/>
      <w:bookmarkStart w:id="125" w:name="_Toc1171281734"/>
      <w:r>
        <w:rPr>
          <w:rFonts w:hint="eastAsia"/>
          <w:color w:val="000000" w:themeColor="text1"/>
          <w:highlight w:val="none"/>
          <w14:textFill>
            <w14:solidFill>
              <w14:schemeClr w14:val="tx1"/>
            </w14:solidFill>
          </w14:textFill>
        </w:rPr>
        <w:t>试验方法</w:t>
      </w:r>
      <w:bookmarkEnd w:id="122"/>
      <w:bookmarkEnd w:id="123"/>
      <w:bookmarkEnd w:id="124"/>
      <w:bookmarkEnd w:id="125"/>
    </w:p>
    <w:p>
      <w:pPr>
        <w:pStyle w:val="34"/>
        <w:spacing w:before="156" w:after="156"/>
        <w:rPr>
          <w:color w:val="000000" w:themeColor="text1"/>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总则</w:t>
      </w:r>
    </w:p>
    <w:p>
      <w:pPr>
        <w:pStyle w:val="33"/>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概述</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11022—2020中7.1.1及</w:t>
      </w:r>
      <w:r>
        <w:rPr>
          <w:rFonts w:hAnsi="宋体" w:eastAsia="宋体" w:cs="宋体"/>
          <w:color w:val="000000" w:themeColor="text1"/>
          <w:highlight w:val="none"/>
          <w14:textFill>
            <w14:solidFill>
              <w14:schemeClr w14:val="tx1"/>
            </w14:solidFill>
          </w14:textFill>
        </w:rPr>
        <w:t>GB/T 3906—2020中7.1.1</w:t>
      </w:r>
      <w:r>
        <w:rPr>
          <w:rFonts w:hint="eastAsia"/>
          <w:color w:val="000000" w:themeColor="text1"/>
          <w:highlight w:val="none"/>
          <w14:textFill>
            <w14:solidFill>
              <w14:schemeClr w14:val="tx1"/>
            </w14:solidFill>
          </w14:textFill>
        </w:rPr>
        <w:t>的规定执行</w:t>
      </w:r>
      <w:r>
        <w:rPr>
          <w:color w:val="000000" w:themeColor="text1"/>
          <w:highlight w:val="none"/>
          <w14:textFill>
            <w14:solidFill>
              <w14:schemeClr w14:val="tx1"/>
            </w14:solidFill>
          </w14:textFill>
        </w:rPr>
        <w:t>。</w:t>
      </w:r>
    </w:p>
    <w:p>
      <w:pPr>
        <w:pStyle w:val="33"/>
        <w:spacing w:before="156" w:after="156"/>
        <w:rPr>
          <w:rFonts w:hAnsi="等线"/>
          <w:color w:val="000000" w:themeColor="text1"/>
          <w:szCs w:val="20"/>
          <w:highlight w:val="none"/>
          <w14:textFill>
            <w14:solidFill>
              <w14:schemeClr w14:val="tx1"/>
            </w14:solidFill>
          </w14:textFill>
        </w:rPr>
      </w:pPr>
      <w:r>
        <w:rPr>
          <w:rFonts w:hint="eastAsia" w:hAnsi="等线"/>
          <w:color w:val="000000" w:themeColor="text1"/>
          <w:szCs w:val="20"/>
          <w:highlight w:val="none"/>
          <w14:textFill>
            <w14:solidFill>
              <w14:schemeClr w14:val="tx1"/>
            </w14:solidFill>
          </w14:textFill>
        </w:rPr>
        <w:t>试验分组</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按GB/T 3906</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2020中7.1.2的规定执行，并作如下补充：</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型式试验（内部电弧故障、电磁兼容、</w:t>
      </w:r>
      <w:r>
        <w:rPr>
          <w:color w:val="000000" w:themeColor="text1"/>
          <w:highlight w:val="none"/>
          <w14:textFill>
            <w14:solidFill>
              <w14:schemeClr w14:val="tx1"/>
            </w14:solidFill>
          </w14:textFill>
        </w:rPr>
        <w:t>腐蚀、耐温湿、耐低温、</w:t>
      </w:r>
      <w:r>
        <w:rPr>
          <w:rFonts w:hint="eastAsia"/>
          <w:color w:val="000000" w:themeColor="text1"/>
          <w:highlight w:val="none"/>
          <w14:textFill>
            <w14:solidFill>
              <w14:schemeClr w14:val="tx1"/>
            </w14:solidFill>
          </w14:textFill>
        </w:rPr>
        <w:t>真空灭弧室的X射线除外）应该在2台试品上进行。</w:t>
      </w:r>
    </w:p>
    <w:p>
      <w:pPr>
        <w:pStyle w:val="34"/>
        <w:spacing w:before="156" w:after="156"/>
        <w:rPr>
          <w:rFonts w:hAnsi="等线"/>
          <w:color w:val="000000" w:themeColor="text1"/>
          <w:szCs w:val="20"/>
          <w:highlight w:val="none"/>
          <w14:textFill>
            <w14:solidFill>
              <w14:schemeClr w14:val="tx1"/>
            </w14:solidFill>
          </w14:textFill>
        </w:rPr>
      </w:pPr>
      <w:r>
        <w:rPr>
          <w:rFonts w:hint="eastAsia" w:hAnsi="等线"/>
          <w:color w:val="000000" w:themeColor="text1"/>
          <w:szCs w:val="20"/>
          <w:highlight w:val="none"/>
          <w14:textFill>
            <w14:solidFill>
              <w14:schemeClr w14:val="tx1"/>
            </w14:solidFill>
          </w14:textFill>
        </w:rPr>
        <w:t>确认试品用的资料</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按GB/T 11022</w:t>
      </w:r>
      <w:r>
        <w:rPr>
          <w:rFonts w:hAnsi="宋体" w:eastAsia="宋体"/>
          <w:color w:val="000000" w:themeColor="text1"/>
          <w:highlight w:val="none"/>
          <w14:textFill>
            <w14:solidFill>
              <w14:schemeClr w14:val="tx1"/>
            </w14:solidFill>
          </w14:textFill>
        </w:rPr>
        <w:t>—</w:t>
      </w:r>
      <w:r>
        <w:rPr>
          <w:rFonts w:hint="eastAsia" w:hAnsi="宋体" w:eastAsia="宋体"/>
          <w:color w:val="000000" w:themeColor="text1"/>
          <w:highlight w:val="none"/>
          <w14:textFill>
            <w14:solidFill>
              <w14:schemeClr w14:val="tx1"/>
            </w14:solidFill>
          </w14:textFill>
        </w:rPr>
        <w:t>2020中7.1.2的规定执行。</w:t>
      </w:r>
    </w:p>
    <w:p>
      <w:pPr>
        <w:pStyle w:val="34"/>
        <w:spacing w:before="156" w:after="156"/>
        <w:rPr>
          <w:rFonts w:hAnsi="等线"/>
          <w:color w:val="000000" w:themeColor="text1"/>
          <w:szCs w:val="20"/>
          <w:highlight w:val="none"/>
          <w14:textFill>
            <w14:solidFill>
              <w14:schemeClr w14:val="tx1"/>
            </w14:solidFill>
          </w14:textFill>
        </w:rPr>
      </w:pPr>
      <w:r>
        <w:rPr>
          <w:rFonts w:hint="eastAsia" w:hAnsi="等线"/>
          <w:color w:val="000000" w:themeColor="text1"/>
          <w:szCs w:val="20"/>
          <w:highlight w:val="none"/>
          <w14:textFill>
            <w14:solidFill>
              <w14:schemeClr w14:val="tx1"/>
            </w14:solidFill>
          </w14:textFill>
        </w:rPr>
        <w:t>型式试验报告包括的资料</w:t>
      </w:r>
    </w:p>
    <w:p>
      <w:pPr>
        <w:pStyle w:val="26"/>
        <w:rPr>
          <w:rFonts w:hAnsi="宋体" w:eastAsia="宋体"/>
          <w:color w:val="000000" w:themeColor="text1"/>
          <w:highlight w:val="none"/>
          <w14:textFill>
            <w14:solidFill>
              <w14:schemeClr w14:val="tx1"/>
            </w14:solidFill>
          </w14:textFill>
        </w:rPr>
      </w:pPr>
      <w:r>
        <w:rPr>
          <w:rFonts w:hAnsi="宋体" w:eastAsia="宋体"/>
          <w:color w:val="000000" w:themeColor="text1"/>
          <w:highlight w:val="none"/>
          <w14:textFill>
            <w14:solidFill>
              <w14:schemeClr w14:val="tx1"/>
            </w14:solidFill>
          </w14:textFill>
        </w:rPr>
        <w:t>按GB/T 3906—2020中7.1.4的规定执行</w:t>
      </w:r>
      <w:r>
        <w:rPr>
          <w:rFonts w:hint="eastAsia" w:hAnsi="宋体" w:eastAsia="宋体"/>
          <w:color w:val="000000" w:themeColor="text1"/>
          <w:highlight w:val="none"/>
          <w14:textFill>
            <w14:solidFill>
              <w14:schemeClr w14:val="tx1"/>
            </w14:solidFill>
          </w14:textFill>
        </w:rPr>
        <w:t>。</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设计</w:t>
      </w:r>
      <w:r>
        <w:rPr>
          <w:rFonts w:hint="eastAsia" w:hAnsi="等线"/>
          <w:color w:val="000000" w:themeColor="text1"/>
          <w:szCs w:val="20"/>
          <w:highlight w:val="none"/>
          <w14:textFill>
            <w14:solidFill>
              <w14:schemeClr w14:val="tx1"/>
            </w14:solidFill>
          </w14:textFill>
        </w:rPr>
        <w:t>检查</w:t>
      </w:r>
      <w:r>
        <w:rPr>
          <w:rFonts w:hAnsi="等线"/>
          <w:color w:val="000000" w:themeColor="text1"/>
          <w:szCs w:val="20"/>
          <w:highlight w:val="none"/>
          <w14:textFill>
            <w14:solidFill>
              <w14:schemeClr w14:val="tx1"/>
            </w14:solidFill>
          </w14:textFill>
        </w:rPr>
        <w:t>和</w:t>
      </w:r>
      <w:r>
        <w:rPr>
          <w:rFonts w:hint="eastAsia" w:hAnsi="等线"/>
          <w:color w:val="000000" w:themeColor="text1"/>
          <w:szCs w:val="20"/>
          <w:highlight w:val="none"/>
          <w14:textFill>
            <w14:solidFill>
              <w14:schemeClr w14:val="tx1"/>
            </w14:solidFill>
          </w14:textFill>
        </w:rPr>
        <w:t>外观</w:t>
      </w:r>
      <w:r>
        <w:rPr>
          <w:rFonts w:hAnsi="等线"/>
          <w:color w:val="000000" w:themeColor="text1"/>
          <w:szCs w:val="20"/>
          <w:highlight w:val="none"/>
          <w14:textFill>
            <w14:solidFill>
              <w14:schemeClr w14:val="tx1"/>
            </w14:solidFill>
          </w14:textFill>
        </w:rPr>
        <w:t>检查</w:t>
      </w:r>
    </w:p>
    <w:p>
      <w:pPr>
        <w:pStyle w:val="26"/>
        <w:rPr>
          <w:rFonts w:hAnsi="宋体" w:eastAsia="宋体"/>
          <w:color w:val="000000" w:themeColor="text1"/>
          <w:highlight w:val="none"/>
          <w14:textFill>
            <w14:solidFill>
              <w14:schemeClr w14:val="tx1"/>
            </w14:solidFill>
          </w14:textFill>
        </w:rPr>
      </w:pPr>
      <w:r>
        <w:rPr>
          <w:rFonts w:hAnsi="宋体" w:eastAsia="宋体"/>
          <w:color w:val="000000" w:themeColor="text1"/>
          <w:highlight w:val="none"/>
          <w14:textFill>
            <w14:solidFill>
              <w14:schemeClr w14:val="tx1"/>
            </w14:solidFill>
          </w14:textFill>
        </w:rPr>
        <w:t>按GB/T 3906—2020中8.6的规定执行。</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绝缘试验</w:t>
      </w:r>
    </w:p>
    <w:p>
      <w:pPr>
        <w:pStyle w:val="33"/>
        <w:spacing w:before="156" w:after="156"/>
        <w:rPr>
          <w:color w:val="000000" w:themeColor="text1"/>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概述</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 xml:space="preserve">按GB/T </w:t>
      </w:r>
      <w:r>
        <w:rPr>
          <w:rFonts w:hAnsi="宋体" w:eastAsia="宋体"/>
          <w:color w:val="000000" w:themeColor="text1"/>
          <w:highlight w:val="none"/>
          <w14:textFill>
            <w14:solidFill>
              <w14:schemeClr w14:val="tx1"/>
            </w14:solidFill>
          </w14:textFill>
        </w:rPr>
        <w:t>11022—</w:t>
      </w:r>
      <w:r>
        <w:rPr>
          <w:rFonts w:hint="eastAsia" w:hAnsi="宋体" w:eastAsia="宋体"/>
          <w:color w:val="000000" w:themeColor="text1"/>
          <w:highlight w:val="none"/>
          <w14:textFill>
            <w14:solidFill>
              <w14:schemeClr w14:val="tx1"/>
            </w14:solidFill>
          </w14:textFill>
        </w:rPr>
        <w:t>2020中7.2的规定。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试验时周围的大气条件</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 xml:space="preserve">按GB/T </w:t>
      </w:r>
      <w:r>
        <w:rPr>
          <w:rFonts w:hAnsi="宋体" w:eastAsia="宋体"/>
          <w:color w:val="000000" w:themeColor="text1"/>
          <w:highlight w:val="none"/>
          <w14:textFill>
            <w14:solidFill>
              <w14:schemeClr w14:val="tx1"/>
            </w14:solidFill>
          </w14:textFill>
        </w:rPr>
        <w:t>11022—</w:t>
      </w:r>
      <w:r>
        <w:rPr>
          <w:rFonts w:hint="eastAsia" w:hAnsi="宋体" w:eastAsia="宋体"/>
          <w:color w:val="000000" w:themeColor="text1"/>
          <w:highlight w:val="none"/>
          <w14:textFill>
            <w14:solidFill>
              <w14:schemeClr w14:val="tx1"/>
            </w14:solidFill>
          </w14:textFill>
        </w:rPr>
        <w:t>2020中7.2</w:t>
      </w:r>
      <w:r>
        <w:rPr>
          <w:rFonts w:hAnsi="宋体" w:eastAsia="宋体"/>
          <w:color w:val="000000" w:themeColor="text1"/>
          <w:highlight w:val="none"/>
          <w14:textFill>
            <w14:solidFill>
              <w14:schemeClr w14:val="tx1"/>
            </w14:solidFill>
          </w14:textFill>
        </w:rPr>
        <w:t>.2</w:t>
      </w:r>
      <w:r>
        <w:rPr>
          <w:rFonts w:hint="eastAsia" w:hAnsi="宋体" w:eastAsia="宋体"/>
          <w:color w:val="000000" w:themeColor="text1"/>
          <w:highlight w:val="none"/>
          <w14:textFill>
            <w14:solidFill>
              <w14:schemeClr w14:val="tx1"/>
            </w14:solidFill>
          </w14:textFill>
        </w:rPr>
        <w:t>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湿试程序</w:t>
      </w:r>
    </w:p>
    <w:p>
      <w:pPr>
        <w:pStyle w:val="26"/>
        <w:rPr>
          <w:rFonts w:hAnsi="宋体" w:eastAsia="宋体"/>
          <w:color w:val="000000" w:themeColor="text1"/>
          <w:highlight w:val="none"/>
          <w14:textFill>
            <w14:solidFill>
              <w14:schemeClr w14:val="tx1"/>
            </w14:solidFill>
          </w14:textFill>
        </w:rPr>
      </w:pPr>
      <w:r>
        <w:rPr>
          <w:rFonts w:hAnsi="宋体" w:eastAsia="宋体"/>
          <w:color w:val="000000" w:themeColor="text1"/>
          <w:highlight w:val="none"/>
          <w14:textFill>
            <w14:solidFill>
              <w14:schemeClr w14:val="tx1"/>
            </w14:solidFill>
          </w14:textFill>
        </w:rPr>
        <w:t>如果要求进行湿试验，应按照</w:t>
      </w:r>
      <w:r>
        <w:rPr>
          <w:rFonts w:hint="eastAsia" w:hAnsi="宋体" w:eastAsia="宋体"/>
          <w:color w:val="000000" w:themeColor="text1"/>
          <w:highlight w:val="none"/>
          <w14:textFill>
            <w14:solidFill>
              <w14:schemeClr w14:val="tx1"/>
            </w14:solidFill>
          </w14:textFill>
        </w:rPr>
        <w:t xml:space="preserve">按GB/T </w:t>
      </w:r>
      <w:r>
        <w:rPr>
          <w:rFonts w:hAnsi="宋体" w:eastAsia="宋体"/>
          <w:color w:val="000000" w:themeColor="text1"/>
          <w:highlight w:val="none"/>
          <w14:textFill>
            <w14:solidFill>
              <w14:schemeClr w14:val="tx1"/>
            </w14:solidFill>
          </w14:textFill>
        </w:rPr>
        <w:t>16927.1—</w:t>
      </w:r>
      <w:r>
        <w:rPr>
          <w:rFonts w:hint="eastAsia" w:hAnsi="宋体" w:eastAsia="宋体"/>
          <w:color w:val="000000" w:themeColor="text1"/>
          <w:highlight w:val="none"/>
          <w14:textFill>
            <w14:solidFill>
              <w14:schemeClr w14:val="tx1"/>
            </w14:solidFill>
          </w14:textFill>
        </w:rPr>
        <w:t>20</w:t>
      </w:r>
      <w:r>
        <w:rPr>
          <w:rFonts w:hAnsi="宋体" w:eastAsia="宋体"/>
          <w:color w:val="000000" w:themeColor="text1"/>
          <w:highlight w:val="none"/>
          <w14:textFill>
            <w14:solidFill>
              <w14:schemeClr w14:val="tx1"/>
            </w14:solidFill>
          </w14:textFill>
        </w:rPr>
        <w:t>11</w:t>
      </w:r>
      <w:r>
        <w:rPr>
          <w:rFonts w:hint="eastAsia" w:hAnsi="宋体" w:eastAsia="宋体"/>
          <w:color w:val="000000" w:themeColor="text1"/>
          <w:highlight w:val="none"/>
          <w14:textFill>
            <w14:solidFill>
              <w14:schemeClr w14:val="tx1"/>
            </w14:solidFill>
          </w14:textFill>
        </w:rPr>
        <w:t>中</w:t>
      </w:r>
      <w:r>
        <w:rPr>
          <w:rFonts w:hAnsi="宋体" w:eastAsia="宋体"/>
          <w:color w:val="000000" w:themeColor="text1"/>
          <w:highlight w:val="none"/>
          <w14:textFill>
            <w14:solidFill>
              <w14:schemeClr w14:val="tx1"/>
            </w14:solidFill>
          </w14:textFill>
        </w:rPr>
        <w:t>给出的标准湿试程序进行</w:t>
      </w:r>
      <w:r>
        <w:rPr>
          <w:rFonts w:hint="eastAsia" w:hAnsi="宋体" w:eastAsia="宋体"/>
          <w:color w:val="000000" w:themeColor="text1"/>
          <w:highlight w:val="none"/>
          <w14:textFill>
            <w14:solidFill>
              <w14:schemeClr w14:val="tx1"/>
            </w14:solidFill>
          </w14:textFill>
        </w:rPr>
        <w:t>。</w:t>
      </w:r>
      <w:r>
        <w:rPr>
          <w:rFonts w:hAnsi="宋体" w:eastAsia="宋体"/>
          <w:color w:val="000000" w:themeColor="text1"/>
          <w:highlight w:val="none"/>
          <w14:textFill>
            <w14:solidFill>
              <w14:schemeClr w14:val="tx1"/>
            </w14:solidFill>
          </w14:textFill>
        </w:rPr>
        <w:t>湿试程序仅适用于有户外连接的情况。</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试品的布置</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 xml:space="preserve">按GB/T </w:t>
      </w:r>
      <w:r>
        <w:rPr>
          <w:rFonts w:hAnsi="宋体" w:eastAsia="宋体"/>
          <w:color w:val="000000" w:themeColor="text1"/>
          <w:highlight w:val="none"/>
          <w14:textFill>
            <w14:solidFill>
              <w14:schemeClr w14:val="tx1"/>
            </w14:solidFill>
          </w14:textFill>
        </w:rPr>
        <w:t>11022—</w:t>
      </w:r>
      <w:r>
        <w:rPr>
          <w:rFonts w:hint="eastAsia" w:hAnsi="宋体" w:eastAsia="宋体"/>
          <w:color w:val="000000" w:themeColor="text1"/>
          <w:highlight w:val="none"/>
          <w14:textFill>
            <w14:solidFill>
              <w14:schemeClr w14:val="tx1"/>
            </w14:solidFill>
          </w14:textFill>
        </w:rPr>
        <w:t>2020中7.2</w:t>
      </w:r>
      <w:r>
        <w:rPr>
          <w:rFonts w:hAnsi="宋体" w:eastAsia="宋体"/>
          <w:color w:val="000000" w:themeColor="text1"/>
          <w:highlight w:val="none"/>
          <w14:textFill>
            <w14:solidFill>
              <w14:schemeClr w14:val="tx1"/>
            </w14:solidFill>
          </w14:textFill>
        </w:rPr>
        <w:t>.4</w:t>
      </w:r>
      <w:r>
        <w:rPr>
          <w:rFonts w:hint="eastAsia" w:hAnsi="宋体" w:eastAsia="宋体"/>
          <w:color w:val="000000" w:themeColor="text1"/>
          <w:highlight w:val="none"/>
          <w14:textFill>
            <w14:solidFill>
              <w14:schemeClr w14:val="tx1"/>
            </w14:solidFill>
          </w14:textFill>
        </w:rPr>
        <w:t>的规定。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试验通过的判据</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11022—2020中7.2.5及</w:t>
      </w:r>
      <w:r>
        <w:rPr>
          <w:rFonts w:hAnsi="宋体" w:eastAsia="宋体" w:cs="宋体"/>
          <w:color w:val="000000" w:themeColor="text1"/>
          <w:highlight w:val="none"/>
          <w14:textFill>
            <w14:solidFill>
              <w14:schemeClr w14:val="tx1"/>
            </w14:solidFill>
          </w14:textFill>
        </w:rPr>
        <w:t>GB/T 3906—2020中7.2.5</w:t>
      </w:r>
      <w:r>
        <w:rPr>
          <w:rFonts w:hint="eastAsia"/>
          <w:color w:val="000000" w:themeColor="text1"/>
          <w:highlight w:val="none"/>
          <w14:textFill>
            <w14:solidFill>
              <w14:schemeClr w14:val="tx1"/>
            </w14:solidFill>
          </w14:textFill>
        </w:rPr>
        <w:t>的规定执行</w:t>
      </w:r>
      <w:r>
        <w:rPr>
          <w:color w:val="000000" w:themeColor="text1"/>
          <w:highlight w:val="none"/>
          <w14:textFill>
            <w14:solidFill>
              <w14:schemeClr w14:val="tx1"/>
            </w14:solidFill>
          </w14:textFill>
        </w:rPr>
        <w:t>。</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试验电压的施加和试验条件</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11022—2020中7.2.6及</w:t>
      </w:r>
      <w:r>
        <w:rPr>
          <w:rFonts w:hAnsi="宋体" w:eastAsia="宋体" w:cs="宋体"/>
          <w:color w:val="000000" w:themeColor="text1"/>
          <w:highlight w:val="none"/>
          <w14:textFill>
            <w14:solidFill>
              <w14:schemeClr w14:val="tx1"/>
            </w14:solidFill>
          </w14:textFill>
        </w:rPr>
        <w:t>GB/T 3906—2020中7.2.6</w:t>
      </w:r>
      <w:r>
        <w:rPr>
          <w:rFonts w:hint="eastAsia"/>
          <w:color w:val="000000" w:themeColor="text1"/>
          <w:highlight w:val="none"/>
          <w14:textFill>
            <w14:solidFill>
              <w14:schemeClr w14:val="tx1"/>
            </w14:solidFill>
          </w14:textFill>
        </w:rPr>
        <w:t>的规定执行</w:t>
      </w:r>
      <w:r>
        <w:rPr>
          <w:color w:val="000000" w:themeColor="text1"/>
          <w:highlight w:val="none"/>
          <w14:textFill>
            <w14:solidFill>
              <w14:schemeClr w14:val="tx1"/>
            </w14:solidFill>
          </w14:textFill>
        </w:rPr>
        <w:t>。</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工频电压试验</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按</w:t>
      </w:r>
      <w:r>
        <w:rPr>
          <w:rFonts w:hAnsi="宋体" w:eastAsia="宋体" w:cs="宋体"/>
          <w:color w:val="000000" w:themeColor="text1"/>
          <w:highlight w:val="none"/>
          <w14:textFill>
            <w14:solidFill>
              <w14:schemeClr w14:val="tx1"/>
            </w14:solidFill>
          </w14:textFill>
        </w:rPr>
        <w:t>GB/T 3906—2020中7.2.7.2</w:t>
      </w:r>
      <w:r>
        <w:rPr>
          <w:rFonts w:hint="eastAsia"/>
          <w:color w:val="000000" w:themeColor="text1"/>
          <w:highlight w:val="none"/>
          <w14:textFill>
            <w14:solidFill>
              <w14:schemeClr w14:val="tx1"/>
            </w14:solidFill>
          </w14:textFill>
        </w:rPr>
        <w:t>的规定执行</w:t>
      </w:r>
      <w:r>
        <w:rPr>
          <w:color w:val="000000" w:themeColor="text1"/>
          <w:highlight w:val="none"/>
          <w14:textFill>
            <w14:solidFill>
              <w14:schemeClr w14:val="tx1"/>
            </w14:solidFill>
          </w14:textFill>
        </w:rPr>
        <w:t>。</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雷电冲击电压试验</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11022—2020中7.2.7.3及</w:t>
      </w:r>
      <w:r>
        <w:rPr>
          <w:rFonts w:hAnsi="宋体" w:eastAsia="宋体" w:cs="宋体"/>
          <w:color w:val="000000" w:themeColor="text1"/>
          <w:highlight w:val="none"/>
          <w14:textFill>
            <w14:solidFill>
              <w14:schemeClr w14:val="tx1"/>
            </w14:solidFill>
          </w14:textFill>
        </w:rPr>
        <w:t>GB/T 3906—2020中7.2.7.3</w:t>
      </w:r>
      <w:r>
        <w:rPr>
          <w:rFonts w:hint="eastAsia"/>
          <w:color w:val="000000" w:themeColor="text1"/>
          <w:highlight w:val="none"/>
          <w14:textFill>
            <w14:solidFill>
              <w14:schemeClr w14:val="tx1"/>
            </w14:solidFill>
          </w14:textFill>
        </w:rPr>
        <w:t>的规定执行</w:t>
      </w:r>
      <w:r>
        <w:rPr>
          <w:color w:val="000000" w:themeColor="text1"/>
          <w:highlight w:val="none"/>
          <w14:textFill>
            <w14:solidFill>
              <w14:schemeClr w14:val="tx1"/>
            </w14:solidFill>
          </w14:textFill>
        </w:rPr>
        <w:t>。</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局部放电试验</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11022—2020中7.2.10及</w:t>
      </w:r>
      <w:r>
        <w:rPr>
          <w:rFonts w:hAnsi="宋体" w:eastAsia="宋体" w:cs="宋体"/>
          <w:color w:val="000000" w:themeColor="text1"/>
          <w:highlight w:val="none"/>
          <w14:textFill>
            <w14:solidFill>
              <w14:schemeClr w14:val="tx1"/>
            </w14:solidFill>
          </w14:textFill>
        </w:rPr>
        <w:t>GB/T 3906—2020中7.2.10</w:t>
      </w:r>
      <w:r>
        <w:rPr>
          <w:rFonts w:hint="eastAsia"/>
          <w:color w:val="000000" w:themeColor="text1"/>
          <w:highlight w:val="none"/>
          <w14:textFill>
            <w14:solidFill>
              <w14:schemeClr w14:val="tx1"/>
            </w14:solidFill>
          </w14:textFill>
        </w:rPr>
        <w:t>的规定执行</w:t>
      </w:r>
      <w:r>
        <w:rPr>
          <w:color w:val="000000" w:themeColor="text1"/>
          <w:highlight w:val="none"/>
          <w14:textFill>
            <w14:solidFill>
              <w14:schemeClr w14:val="tx1"/>
            </w14:solidFill>
          </w14:textFill>
        </w:rPr>
        <w:t>。</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辅助和控制回路的绝缘试验</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11022—2020中7.2.11及</w:t>
      </w:r>
      <w:r>
        <w:rPr>
          <w:rFonts w:hAnsi="宋体" w:eastAsia="宋体" w:cs="宋体"/>
          <w:color w:val="000000" w:themeColor="text1"/>
          <w:highlight w:val="none"/>
          <w14:textFill>
            <w14:solidFill>
              <w14:schemeClr w14:val="tx1"/>
            </w14:solidFill>
          </w14:textFill>
        </w:rPr>
        <w:t>GB/T 3906—2020中7.2.11</w:t>
      </w:r>
      <w:r>
        <w:rPr>
          <w:rFonts w:hint="eastAsia"/>
          <w:color w:val="000000" w:themeColor="text1"/>
          <w:highlight w:val="none"/>
          <w14:textFill>
            <w14:solidFill>
              <w14:schemeClr w14:val="tx1"/>
            </w14:solidFill>
          </w14:textFill>
        </w:rPr>
        <w:t>的规定执行</w:t>
      </w:r>
      <w:r>
        <w:rPr>
          <w:color w:val="000000" w:themeColor="text1"/>
          <w:highlight w:val="none"/>
          <w14:textFill>
            <w14:solidFill>
              <w14:schemeClr w14:val="tx1"/>
            </w14:solidFill>
          </w14:textFill>
        </w:rPr>
        <w:t>。</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作为状态检测的电压试验</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11022—2020中7.2.12</w:t>
      </w:r>
      <w:r>
        <w:rPr>
          <w:rFonts w:hint="eastAsia"/>
          <w:color w:val="000000" w:themeColor="text1"/>
          <w:highlight w:val="none"/>
          <w14:textFill>
            <w14:solidFill>
              <w14:schemeClr w14:val="tx1"/>
            </w14:solidFill>
          </w14:textFill>
        </w:rPr>
        <w:t>的规定执行</w:t>
      </w:r>
      <w:r>
        <w:rPr>
          <w:color w:val="000000" w:themeColor="text1"/>
          <w:highlight w:val="none"/>
          <w14:textFill>
            <w14:solidFill>
              <w14:schemeClr w14:val="tx1"/>
            </w14:solidFill>
          </w14:textFill>
        </w:rPr>
        <w:t>。</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电缆试验回路的试验</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 xml:space="preserve">GB/T </w:t>
      </w:r>
      <w:r>
        <w:rPr>
          <w:rFonts w:hAnsi="宋体" w:eastAsia="宋体" w:cs="宋体"/>
          <w:color w:val="000000" w:themeColor="text1"/>
          <w:highlight w:val="none"/>
          <w14:textFill>
            <w14:solidFill>
              <w14:schemeClr w14:val="tx1"/>
            </w14:solidFill>
          </w14:textFill>
        </w:rPr>
        <w:t>3906—2020</w:t>
      </w:r>
      <w:r>
        <w:rPr>
          <w:rFonts w:hAnsi="宋体" w:eastAsia="宋体"/>
          <w:color w:val="000000" w:themeColor="text1"/>
          <w:highlight w:val="none"/>
          <w14:textFill>
            <w14:solidFill>
              <w14:schemeClr w14:val="tx1"/>
            </w14:solidFill>
          </w14:textFill>
        </w:rPr>
        <w:t>中7.2.101</w:t>
      </w:r>
      <w:r>
        <w:rPr>
          <w:rFonts w:hint="eastAsia"/>
          <w:color w:val="000000" w:themeColor="text1"/>
          <w:highlight w:val="none"/>
          <w14:textFill>
            <w14:solidFill>
              <w14:schemeClr w14:val="tx1"/>
            </w14:solidFill>
          </w14:textFill>
        </w:rPr>
        <w:t>的规定执行</w:t>
      </w:r>
      <w:r>
        <w:rPr>
          <w:color w:val="000000" w:themeColor="text1"/>
          <w:highlight w:val="none"/>
          <w14:textFill>
            <w14:solidFill>
              <w14:schemeClr w14:val="tx1"/>
            </w14:solidFill>
          </w14:textFill>
        </w:rPr>
        <w:t>。</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回路电阻测量</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按GB/T 11022</w:t>
      </w:r>
      <w:r>
        <w:rPr>
          <w:rFonts w:hAnsi="宋体" w:eastAsia="宋体"/>
          <w:color w:val="000000" w:themeColor="text1"/>
          <w:highlight w:val="none"/>
          <w14:textFill>
            <w14:solidFill>
              <w14:schemeClr w14:val="tx1"/>
            </w14:solidFill>
          </w14:textFill>
        </w:rPr>
        <w:t>—</w:t>
      </w:r>
      <w:r>
        <w:rPr>
          <w:rFonts w:hint="eastAsia" w:hAnsi="宋体" w:eastAsia="宋体"/>
          <w:color w:val="000000" w:themeColor="text1"/>
          <w:highlight w:val="none"/>
          <w14:textFill>
            <w14:solidFill>
              <w14:schemeClr w14:val="tx1"/>
            </w14:solidFill>
          </w14:textFill>
        </w:rPr>
        <w:t>2020中7.4的规定。并作以下补充：</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当单个</w:t>
      </w:r>
      <w:r>
        <w:rPr>
          <w:rFonts w:hAnsi="宋体" w:eastAsia="宋体"/>
          <w:color w:val="000000" w:themeColor="text1"/>
          <w:highlight w:val="none"/>
          <w14:textFill>
            <w14:solidFill>
              <w14:schemeClr w14:val="tx1"/>
            </w14:solidFill>
          </w14:textFill>
        </w:rPr>
        <w:t>海上风电用高压开关柜</w:t>
      </w:r>
      <w:r>
        <w:rPr>
          <w:rFonts w:hint="eastAsia" w:hAnsi="宋体" w:eastAsia="宋体"/>
          <w:color w:val="000000" w:themeColor="text1"/>
          <w:highlight w:val="none"/>
          <w14:textFill>
            <w14:solidFill>
              <w14:schemeClr w14:val="tx1"/>
            </w14:solidFill>
          </w14:textFill>
        </w:rPr>
        <w:t>制设备的充气隔室的主回路一端无法接近时，例如多回路环网开关设备，可通过将两个相同设计的开关设备和控制设备的主回路串联的方法测量主回路电阻值，供出厂试验时参考。</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短时耐受电流和峰值耐受电流试验</w:t>
      </w:r>
    </w:p>
    <w:p>
      <w:pPr>
        <w:pStyle w:val="2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11022—2020中7.6及</w:t>
      </w:r>
      <w:r>
        <w:rPr>
          <w:rFonts w:hAnsi="宋体" w:eastAsia="宋体" w:cs="宋体"/>
          <w:color w:val="000000" w:themeColor="text1"/>
          <w:highlight w:val="none"/>
          <w14:textFill>
            <w14:solidFill>
              <w14:schemeClr w14:val="tx1"/>
            </w14:solidFill>
          </w14:textFill>
        </w:rPr>
        <w:t>GB/T 3906—2020中7.6</w:t>
      </w:r>
      <w:r>
        <w:rPr>
          <w:rFonts w:hint="eastAsia"/>
          <w:color w:val="000000" w:themeColor="text1"/>
          <w:highlight w:val="none"/>
          <w14:textFill>
            <w14:solidFill>
              <w14:schemeClr w14:val="tx1"/>
            </w14:solidFill>
          </w14:textFill>
        </w:rPr>
        <w:t>的规定执行</w:t>
      </w:r>
      <w:r>
        <w:rPr>
          <w:color w:val="000000" w:themeColor="text1"/>
          <w:highlight w:val="none"/>
          <w14:textFill>
            <w14:solidFill>
              <w14:schemeClr w14:val="tx1"/>
            </w14:solidFill>
          </w14:textFill>
        </w:rPr>
        <w:t>。</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防护等级验证</w:t>
      </w:r>
    </w:p>
    <w:p>
      <w:pPr>
        <w:pStyle w:val="33"/>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IP代码的验证</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11022—2020中7.7.1的规定</w:t>
      </w:r>
      <w:r>
        <w:rPr>
          <w:rFonts w:hint="eastAsia" w:hAnsi="宋体" w:eastAsia="宋体"/>
          <w:color w:val="000000" w:themeColor="text1"/>
          <w:highlight w:val="none"/>
          <w:lang w:val="en-US" w:eastAsia="zh-Hans"/>
          <w14:textFill>
            <w14:solidFill>
              <w14:schemeClr w14:val="tx1"/>
            </w14:solidFill>
          </w14:textFill>
        </w:rPr>
        <w:t>执行</w:t>
      </w:r>
      <w:r>
        <w:rPr>
          <w:rFonts w:hAnsi="宋体" w:eastAsia="宋体"/>
          <w:color w:val="000000" w:themeColor="text1"/>
          <w:highlight w:val="none"/>
          <w14:textFill>
            <w14:solidFill>
              <w14:schemeClr w14:val="tx1"/>
            </w14:solidFill>
          </w14:textFill>
        </w:rPr>
        <w:t>。</w:t>
      </w:r>
    </w:p>
    <w:p>
      <w:pPr>
        <w:pStyle w:val="33"/>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IK代码的验证</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 xml:space="preserve">GB/T </w:t>
      </w:r>
      <w:r>
        <w:rPr>
          <w:rFonts w:hint="eastAsia" w:hAnsi="宋体" w:eastAsia="宋体"/>
          <w:color w:val="000000" w:themeColor="text1"/>
          <w:highlight w:val="none"/>
          <w14:textFill>
            <w14:solidFill>
              <w14:schemeClr w14:val="tx1"/>
            </w14:solidFill>
          </w14:textFill>
        </w:rPr>
        <w:t>11022</w:t>
      </w:r>
      <w:r>
        <w:rPr>
          <w:rFonts w:hAnsi="宋体" w:eastAsia="宋体"/>
          <w:color w:val="000000" w:themeColor="text1"/>
          <w:highlight w:val="none"/>
          <w14:textFill>
            <w14:solidFill>
              <w14:schemeClr w14:val="tx1"/>
            </w14:solidFill>
          </w14:textFill>
        </w:rPr>
        <w:t>—</w:t>
      </w:r>
      <w:r>
        <w:rPr>
          <w:rFonts w:hint="eastAsia" w:hAnsi="宋体" w:eastAsia="宋体"/>
          <w:color w:val="000000" w:themeColor="text1"/>
          <w:highlight w:val="none"/>
          <w14:textFill>
            <w14:solidFill>
              <w14:schemeClr w14:val="tx1"/>
            </w14:solidFill>
          </w14:textFill>
        </w:rPr>
        <w:t>2020</w:t>
      </w:r>
      <w:r>
        <w:rPr>
          <w:rFonts w:hAnsi="宋体" w:eastAsia="宋体"/>
          <w:color w:val="000000" w:themeColor="text1"/>
          <w:highlight w:val="none"/>
          <w14:textFill>
            <w14:solidFill>
              <w14:schemeClr w14:val="tx1"/>
            </w14:solidFill>
          </w14:textFill>
        </w:rPr>
        <w:t>中7.7.2的规定，不小于IK08级别。</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 xml:space="preserve"> 密封试验</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11022—2020中7.8的规定。为简化试验，密封试验暂用SF6、He及其它气体代替，年泄漏率标准按小于</w:t>
      </w:r>
      <w:r>
        <w:rPr>
          <w:rFonts w:hint="eastAsia" w:hAnsi="宋体" w:eastAsia="宋体"/>
          <w:color w:val="000000" w:themeColor="text1"/>
          <w:highlight w:val="none"/>
          <w14:textFill>
            <w14:solidFill>
              <w14:schemeClr w14:val="tx1"/>
            </w14:solidFill>
          </w14:textFill>
        </w:rPr>
        <w:t>0.0</w:t>
      </w:r>
      <w:r>
        <w:rPr>
          <w:rFonts w:hAnsi="宋体" w:eastAsia="宋体"/>
          <w:color w:val="000000" w:themeColor="text1"/>
          <w:highlight w:val="none"/>
          <w14:textFill>
            <w14:solidFill>
              <w14:schemeClr w14:val="tx1"/>
            </w14:solidFill>
          </w14:textFill>
        </w:rPr>
        <w:t>1</w:t>
      </w:r>
      <w:r>
        <w:rPr>
          <w:rFonts w:hint="eastAsia" w:hAnsi="宋体" w:eastAsia="宋体"/>
          <w:color w:val="000000" w:themeColor="text1"/>
          <w:highlight w:val="none"/>
          <w14:textFill>
            <w14:solidFill>
              <w14:schemeClr w14:val="tx1"/>
            </w14:solidFill>
          </w14:textFill>
        </w:rPr>
        <w:t>%</w:t>
      </w:r>
      <w:r>
        <w:rPr>
          <w:rFonts w:hAnsi="宋体" w:eastAsia="宋体"/>
          <w:color w:val="000000" w:themeColor="text1"/>
          <w:highlight w:val="none"/>
          <w14:textFill>
            <w14:solidFill>
              <w14:schemeClr w14:val="tx1"/>
            </w14:solidFill>
          </w14:textFill>
        </w:rPr>
        <w:t xml:space="preserve">的要求。 </w:t>
      </w:r>
    </w:p>
    <w:p>
      <w:pPr>
        <w:pStyle w:val="36"/>
        <w:rPr>
          <w:color w:val="000000" w:themeColor="text1"/>
          <w:szCs w:val="20"/>
          <w:highlight w:val="none"/>
          <w14:textFill>
            <w14:solidFill>
              <w14:schemeClr w14:val="tx1"/>
            </w14:solidFill>
          </w14:textFill>
        </w:rPr>
      </w:pPr>
      <w:r>
        <w:rPr>
          <w:rFonts w:hint="eastAsia" w:eastAsia="宋体" w:cs="宋体"/>
          <w:color w:val="000000" w:themeColor="text1"/>
          <w:highlight w:val="none"/>
          <w14:textFill>
            <w14:solidFill>
              <w14:schemeClr w14:val="tx1"/>
            </w14:solidFill>
          </w14:textFill>
        </w:rPr>
        <w:t>试验样机应安装气体压力（或密度）指示装置。</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电磁兼容性试验（EMC）</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11022—2020中7.9的规定。</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辅助和控制回路的附加试验</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11022—2020中7.10及</w:t>
      </w:r>
      <w:r>
        <w:rPr>
          <w:rFonts w:hAnsi="宋体" w:eastAsia="宋体" w:cs="宋体"/>
          <w:color w:val="000000" w:themeColor="text1"/>
          <w:highlight w:val="none"/>
          <w14:textFill>
            <w14:solidFill>
              <w14:schemeClr w14:val="tx1"/>
            </w14:solidFill>
          </w14:textFill>
        </w:rPr>
        <w:t>GB/T 3906-2020中7.10</w:t>
      </w:r>
      <w:r>
        <w:rPr>
          <w:rFonts w:hAnsi="宋体" w:eastAsia="宋体"/>
          <w:color w:val="000000" w:themeColor="text1"/>
          <w:highlight w:val="none"/>
          <w14:textFill>
            <w14:solidFill>
              <w14:schemeClr w14:val="tx1"/>
            </w14:solidFill>
          </w14:textFill>
        </w:rPr>
        <w:t>的规定。</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真空灭弧室的X射线试验程序</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w:t>
      </w:r>
      <w:r>
        <w:rPr>
          <w:rFonts w:hAnsi="宋体" w:eastAsia="宋体" w:cs="宋体"/>
          <w:color w:val="000000" w:themeColor="text1"/>
          <w:highlight w:val="none"/>
          <w14:textFill>
            <w14:solidFill>
              <w14:schemeClr w14:val="tx1"/>
            </w14:solidFill>
          </w14:textFill>
        </w:rPr>
        <w:t>GB/T 3906—2020中7.11</w:t>
      </w:r>
      <w:r>
        <w:rPr>
          <w:rFonts w:hAnsi="宋体" w:eastAsia="宋体"/>
          <w:color w:val="000000" w:themeColor="text1"/>
          <w:highlight w:val="none"/>
          <w14:textFill>
            <w14:solidFill>
              <w14:schemeClr w14:val="tx1"/>
            </w14:solidFill>
          </w14:textFill>
        </w:rPr>
        <w:t>的规定。</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关合和开断能力</w:t>
      </w:r>
      <w:r>
        <w:rPr>
          <w:rFonts w:hint="eastAsia" w:hAnsi="等线"/>
          <w:color w:val="000000" w:themeColor="text1"/>
          <w:szCs w:val="20"/>
          <w:highlight w:val="none"/>
          <w14:textFill>
            <w14:solidFill>
              <w14:schemeClr w14:val="tx1"/>
            </w14:solidFill>
          </w14:textFill>
        </w:rPr>
        <w:t>试验</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3906—2020中7.101的规定。</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机械操作试验</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3906—2020中7.102的规定。</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充气隔室的压力耐受试验和气体状态测量</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按GB/T 3906</w:t>
      </w:r>
      <w:r>
        <w:rPr>
          <w:rFonts w:hAnsi="宋体" w:eastAsia="宋体"/>
          <w:color w:val="000000" w:themeColor="text1"/>
          <w:highlight w:val="none"/>
          <w14:textFill>
            <w14:solidFill>
              <w14:schemeClr w14:val="tx1"/>
            </w14:solidFill>
          </w14:textFill>
        </w:rPr>
        <w:t>—</w:t>
      </w:r>
      <w:r>
        <w:rPr>
          <w:rFonts w:hint="eastAsia" w:hAnsi="宋体" w:eastAsia="宋体"/>
          <w:color w:val="000000" w:themeColor="text1"/>
          <w:highlight w:val="none"/>
          <w14:textFill>
            <w14:solidFill>
              <w14:schemeClr w14:val="tx1"/>
            </w14:solidFill>
          </w14:textFill>
        </w:rPr>
        <w:t>2020中7.103的规定执行。</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防止危险电气效应的人员防护的验证试验</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按GB/T 3906</w:t>
      </w:r>
      <w:r>
        <w:rPr>
          <w:rFonts w:hAnsi="宋体" w:eastAsia="宋体"/>
          <w:color w:val="000000" w:themeColor="text1"/>
          <w:highlight w:val="none"/>
          <w14:textFill>
            <w14:solidFill>
              <w14:schemeClr w14:val="tx1"/>
            </w14:solidFill>
          </w14:textFill>
        </w:rPr>
        <w:t>—</w:t>
      </w:r>
      <w:r>
        <w:rPr>
          <w:rFonts w:hint="eastAsia" w:hAnsi="宋体" w:eastAsia="宋体"/>
          <w:color w:val="000000" w:themeColor="text1"/>
          <w:highlight w:val="none"/>
          <w14:textFill>
            <w14:solidFill>
              <w14:schemeClr w14:val="tx1"/>
            </w14:solidFill>
          </w14:textFill>
        </w:rPr>
        <w:t>2020中7.10</w:t>
      </w:r>
      <w:r>
        <w:rPr>
          <w:rFonts w:hAnsi="宋体" w:eastAsia="宋体"/>
          <w:color w:val="000000" w:themeColor="text1"/>
          <w:highlight w:val="none"/>
          <w14:textFill>
            <w14:solidFill>
              <w14:schemeClr w14:val="tx1"/>
            </w14:solidFill>
          </w14:textFill>
        </w:rPr>
        <w:t>4</w:t>
      </w:r>
      <w:r>
        <w:rPr>
          <w:rFonts w:hint="eastAsia" w:hAnsi="宋体" w:eastAsia="宋体"/>
          <w:color w:val="000000" w:themeColor="text1"/>
          <w:highlight w:val="none"/>
          <w14:textFill>
            <w14:solidFill>
              <w14:schemeClr w14:val="tx1"/>
            </w14:solidFill>
          </w14:textFill>
        </w:rPr>
        <w:t>的规定执行。</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气候防护试验</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按GB/T 3906</w:t>
      </w:r>
      <w:r>
        <w:rPr>
          <w:rFonts w:hAnsi="宋体" w:eastAsia="宋体"/>
          <w:color w:val="000000" w:themeColor="text1"/>
          <w:highlight w:val="none"/>
          <w14:textFill>
            <w14:solidFill>
              <w14:schemeClr w14:val="tx1"/>
            </w14:solidFill>
          </w14:textFill>
        </w:rPr>
        <w:t>—</w:t>
      </w:r>
      <w:r>
        <w:rPr>
          <w:rFonts w:hint="eastAsia" w:hAnsi="宋体" w:eastAsia="宋体"/>
          <w:color w:val="000000" w:themeColor="text1"/>
          <w:highlight w:val="none"/>
          <w14:textFill>
            <w14:solidFill>
              <w14:schemeClr w14:val="tx1"/>
            </w14:solidFill>
          </w14:textFill>
        </w:rPr>
        <w:t>2020中7.10</w:t>
      </w:r>
      <w:r>
        <w:rPr>
          <w:rFonts w:hAnsi="宋体" w:eastAsia="宋体"/>
          <w:color w:val="000000" w:themeColor="text1"/>
          <w:highlight w:val="none"/>
          <w14:textFill>
            <w14:solidFill>
              <w14:schemeClr w14:val="tx1"/>
            </w14:solidFill>
          </w14:textFill>
        </w:rPr>
        <w:t>5</w:t>
      </w:r>
      <w:r>
        <w:rPr>
          <w:rFonts w:hint="eastAsia" w:hAnsi="宋体" w:eastAsia="宋体"/>
          <w:color w:val="000000" w:themeColor="text1"/>
          <w:highlight w:val="none"/>
          <w14:textFill>
            <w14:solidFill>
              <w14:schemeClr w14:val="tx1"/>
            </w14:solidFill>
          </w14:textFill>
        </w:rPr>
        <w:t>的规定执行。</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内部电弧试验</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按GB/T 3906</w:t>
      </w:r>
      <w:r>
        <w:rPr>
          <w:rFonts w:hAnsi="宋体" w:eastAsia="宋体"/>
          <w:color w:val="000000" w:themeColor="text1"/>
          <w:highlight w:val="none"/>
          <w14:textFill>
            <w14:solidFill>
              <w14:schemeClr w14:val="tx1"/>
            </w14:solidFill>
          </w14:textFill>
        </w:rPr>
        <w:t>—</w:t>
      </w:r>
      <w:r>
        <w:rPr>
          <w:rFonts w:hint="eastAsia" w:hAnsi="宋体" w:eastAsia="宋体"/>
          <w:color w:val="000000" w:themeColor="text1"/>
          <w:highlight w:val="none"/>
          <w14:textFill>
            <w14:solidFill>
              <w14:schemeClr w14:val="tx1"/>
            </w14:solidFill>
          </w14:textFill>
        </w:rPr>
        <w:t>2020中7.10</w:t>
      </w:r>
      <w:r>
        <w:rPr>
          <w:rFonts w:hAnsi="宋体" w:eastAsia="宋体"/>
          <w:color w:val="000000" w:themeColor="text1"/>
          <w:highlight w:val="none"/>
          <w14:textFill>
            <w14:solidFill>
              <w14:schemeClr w14:val="tx1"/>
            </w14:solidFill>
          </w14:textFill>
        </w:rPr>
        <w:t>6</w:t>
      </w:r>
      <w:r>
        <w:rPr>
          <w:rFonts w:hint="eastAsia" w:hAnsi="宋体" w:eastAsia="宋体"/>
          <w:color w:val="000000" w:themeColor="text1"/>
          <w:highlight w:val="none"/>
          <w14:textFill>
            <w14:solidFill>
              <w14:schemeClr w14:val="tx1"/>
            </w14:solidFill>
          </w14:textFill>
        </w:rPr>
        <w:t>的规定执行。</w:t>
      </w:r>
    </w:p>
    <w:p>
      <w:pPr>
        <w:pStyle w:val="34"/>
        <w:spacing w:before="156" w:after="156"/>
        <w:rPr>
          <w:rFonts w:hAnsi="等线"/>
          <w:color w:val="000000" w:themeColor="text1"/>
          <w:szCs w:val="20"/>
          <w:highlight w:val="none"/>
          <w14:textFill>
            <w14:solidFill>
              <w14:schemeClr w14:val="tx1"/>
            </w14:solidFill>
          </w14:textFill>
        </w:rPr>
      </w:pPr>
      <w:r>
        <w:rPr>
          <w:rFonts w:hint="eastAsia" w:hAnsi="等线"/>
          <w:color w:val="000000" w:themeColor="text1"/>
          <w:szCs w:val="20"/>
          <w:highlight w:val="none"/>
          <w14:textFill>
            <w14:solidFill>
              <w14:schemeClr w14:val="tx1"/>
            </w14:solidFill>
          </w14:textFill>
        </w:rPr>
        <w:t>对开关设备和控制设备中连接母线均采</w:t>
      </w:r>
      <w:r>
        <w:rPr>
          <w:rFonts w:hAnsi="等线"/>
          <w:color w:val="000000" w:themeColor="text1"/>
          <w:szCs w:val="20"/>
          <w:highlight w:val="none"/>
          <w14:textFill>
            <w14:solidFill>
              <w14:schemeClr w14:val="tx1"/>
            </w14:solidFill>
          </w14:textFill>
        </w:rPr>
        <w:t>用固体绝缘包覆元件的金属封闭开关设备的性能验证试验</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按GB/T 3906</w:t>
      </w:r>
      <w:r>
        <w:rPr>
          <w:rFonts w:hAnsi="宋体" w:eastAsia="宋体"/>
          <w:color w:val="000000" w:themeColor="text1"/>
          <w:highlight w:val="none"/>
          <w14:textFill>
            <w14:solidFill>
              <w14:schemeClr w14:val="tx1"/>
            </w14:solidFill>
          </w14:textFill>
        </w:rPr>
        <w:t>—</w:t>
      </w:r>
      <w:r>
        <w:rPr>
          <w:rFonts w:hint="eastAsia" w:hAnsi="宋体" w:eastAsia="宋体"/>
          <w:color w:val="000000" w:themeColor="text1"/>
          <w:highlight w:val="none"/>
          <w14:textFill>
            <w14:solidFill>
              <w14:schemeClr w14:val="tx1"/>
            </w14:solidFill>
          </w14:textFill>
        </w:rPr>
        <w:t>2020中7.10</w:t>
      </w:r>
      <w:r>
        <w:rPr>
          <w:rFonts w:hAnsi="宋体" w:eastAsia="宋体"/>
          <w:color w:val="000000" w:themeColor="text1"/>
          <w:highlight w:val="none"/>
          <w14:textFill>
            <w14:solidFill>
              <w14:schemeClr w14:val="tx1"/>
            </w14:solidFill>
          </w14:textFill>
        </w:rPr>
        <w:t>7</w:t>
      </w:r>
      <w:r>
        <w:rPr>
          <w:rFonts w:hint="eastAsia" w:hAnsi="宋体" w:eastAsia="宋体"/>
          <w:color w:val="000000" w:themeColor="text1"/>
          <w:highlight w:val="none"/>
          <w14:textFill>
            <w14:solidFill>
              <w14:schemeClr w14:val="tx1"/>
            </w14:solidFill>
          </w14:textFill>
        </w:rPr>
        <w:t>的规定执行。</w:t>
      </w:r>
    </w:p>
    <w:p>
      <w:pPr>
        <w:pStyle w:val="34"/>
        <w:spacing w:before="156" w:after="156"/>
        <w:rPr>
          <w:rFonts w:hAnsi="等线"/>
          <w:color w:val="000000" w:themeColor="text1"/>
          <w:szCs w:val="20"/>
          <w:highlight w:val="none"/>
          <w14:textFill>
            <w14:solidFill>
              <w14:schemeClr w14:val="tx1"/>
            </w14:solidFill>
          </w14:textFill>
        </w:rPr>
      </w:pPr>
      <w:r>
        <w:rPr>
          <w:rFonts w:hint="eastAsia" w:hAnsi="等线"/>
          <w:color w:val="000000" w:themeColor="text1"/>
          <w:szCs w:val="20"/>
          <w:highlight w:val="none"/>
          <w14:textFill>
            <w14:solidFill>
              <w14:schemeClr w14:val="tx1"/>
            </w14:solidFill>
          </w14:textFill>
        </w:rPr>
        <w:t>机械寿命试验</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三工位隔离开关的机械寿命开关</w:t>
      </w:r>
      <w:r>
        <w:rPr>
          <w:rFonts w:hAnsi="宋体" w:eastAsia="宋体"/>
          <w:color w:val="000000" w:themeColor="text1"/>
          <w:highlight w:val="none"/>
          <w14:textFill>
            <w14:solidFill>
              <w14:schemeClr w14:val="tx1"/>
            </w14:solidFill>
          </w14:textFill>
        </w:rPr>
        <w:t>按</w:t>
      </w:r>
      <w:r>
        <w:rPr>
          <w:rFonts w:hint="eastAsia" w:hAnsi="宋体" w:eastAsia="宋体"/>
          <w:color w:val="000000" w:themeColor="text1"/>
          <w:highlight w:val="none"/>
          <w14:textFill>
            <w14:solidFill>
              <w14:schemeClr w14:val="tx1"/>
            </w14:solidFill>
          </w14:textFill>
        </w:rPr>
        <w:t>GB/T</w:t>
      </w:r>
      <w:r>
        <w:rPr>
          <w:rFonts w:hAnsi="宋体" w:eastAsia="宋体"/>
          <w:color w:val="000000" w:themeColor="text1"/>
          <w:highlight w:val="none"/>
          <w14:textFill>
            <w14:solidFill>
              <w14:schemeClr w14:val="tx1"/>
            </w14:solidFill>
          </w14:textFill>
        </w:rPr>
        <w:t xml:space="preserve"> </w:t>
      </w:r>
      <w:r>
        <w:rPr>
          <w:rFonts w:hint="eastAsia" w:hAnsi="宋体" w:eastAsia="宋体"/>
          <w:color w:val="000000" w:themeColor="text1"/>
          <w:highlight w:val="none"/>
          <w14:textFill>
            <w14:solidFill>
              <w14:schemeClr w14:val="tx1"/>
            </w14:solidFill>
          </w14:textFill>
        </w:rPr>
        <w:t>1985</w:t>
      </w:r>
      <w:r>
        <w:rPr>
          <w:rFonts w:hAnsi="宋体" w:eastAsia="宋体"/>
          <w:color w:val="000000" w:themeColor="text1"/>
          <w:highlight w:val="none"/>
          <w14:textFill>
            <w14:solidFill>
              <w14:schemeClr w14:val="tx1"/>
            </w14:solidFill>
          </w14:textFill>
        </w:rPr>
        <w:t>—</w:t>
      </w:r>
      <w:r>
        <w:rPr>
          <w:rFonts w:hint="eastAsia" w:hAnsi="宋体" w:eastAsia="宋体"/>
          <w:color w:val="000000" w:themeColor="text1"/>
          <w:highlight w:val="none"/>
          <w14:textFill>
            <w14:solidFill>
              <w14:schemeClr w14:val="tx1"/>
            </w14:solidFill>
          </w14:textFill>
        </w:rPr>
        <w:t>2014中6.102.4的规定进行</w:t>
      </w:r>
      <w:r>
        <w:rPr>
          <w:rFonts w:hAnsi="宋体" w:eastAsia="宋体"/>
          <w:color w:val="000000" w:themeColor="text1"/>
          <w:highlight w:val="none"/>
          <w14:textFill>
            <w14:solidFill>
              <w14:schemeClr w14:val="tx1"/>
            </w14:solidFill>
          </w14:textFill>
        </w:rPr>
        <w:t>，</w:t>
      </w:r>
      <w:r>
        <w:rPr>
          <w:rFonts w:hint="eastAsia" w:hAnsi="宋体" w:eastAsia="宋体"/>
          <w:color w:val="000000" w:themeColor="text1"/>
          <w:highlight w:val="none"/>
          <w14:textFill>
            <w14:solidFill>
              <w14:schemeClr w14:val="tx1"/>
            </w14:solidFill>
          </w14:textFill>
        </w:rPr>
        <w:t>且寿命次数</w:t>
      </w:r>
      <w:r>
        <w:rPr>
          <w:rFonts w:hAnsi="宋体" w:eastAsia="宋体"/>
          <w:color w:val="000000" w:themeColor="text1"/>
          <w:highlight w:val="none"/>
          <w14:textFill>
            <w14:solidFill>
              <w14:schemeClr w14:val="tx1"/>
            </w14:solidFill>
          </w14:textFill>
        </w:rPr>
        <w:t>应不小于5</w:t>
      </w:r>
      <w:r>
        <w:rPr>
          <w:rFonts w:hint="eastAsia" w:hAnsi="宋体" w:eastAsia="宋体"/>
          <w:color w:val="000000" w:themeColor="text1"/>
          <w:highlight w:val="none"/>
          <w14:textFill>
            <w14:solidFill>
              <w14:schemeClr w14:val="tx1"/>
            </w14:solidFill>
          </w14:textFill>
        </w:rPr>
        <w:t>000次。</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接地开关的机械寿命开关</w:t>
      </w:r>
      <w:r>
        <w:rPr>
          <w:rFonts w:hAnsi="宋体" w:eastAsia="宋体"/>
          <w:color w:val="000000" w:themeColor="text1"/>
          <w:highlight w:val="none"/>
          <w14:textFill>
            <w14:solidFill>
              <w14:schemeClr w14:val="tx1"/>
            </w14:solidFill>
          </w14:textFill>
        </w:rPr>
        <w:t>按</w:t>
      </w:r>
      <w:r>
        <w:rPr>
          <w:rFonts w:hint="eastAsia" w:hAnsi="宋体" w:eastAsia="宋体"/>
          <w:color w:val="000000" w:themeColor="text1"/>
          <w:highlight w:val="none"/>
          <w14:textFill>
            <w14:solidFill>
              <w14:schemeClr w14:val="tx1"/>
            </w14:solidFill>
          </w14:textFill>
        </w:rPr>
        <w:t>GB/T</w:t>
      </w:r>
      <w:r>
        <w:rPr>
          <w:rFonts w:hAnsi="宋体" w:eastAsia="宋体"/>
          <w:color w:val="000000" w:themeColor="text1"/>
          <w:highlight w:val="none"/>
          <w14:textFill>
            <w14:solidFill>
              <w14:schemeClr w14:val="tx1"/>
            </w14:solidFill>
          </w14:textFill>
        </w:rPr>
        <w:t xml:space="preserve"> </w:t>
      </w:r>
      <w:r>
        <w:rPr>
          <w:rFonts w:hint="eastAsia" w:hAnsi="宋体" w:eastAsia="宋体"/>
          <w:color w:val="000000" w:themeColor="text1"/>
          <w:highlight w:val="none"/>
          <w14:textFill>
            <w14:solidFill>
              <w14:schemeClr w14:val="tx1"/>
            </w14:solidFill>
          </w14:textFill>
        </w:rPr>
        <w:t>1985-2014的规定进行</w:t>
      </w:r>
      <w:r>
        <w:rPr>
          <w:rFonts w:hAnsi="宋体" w:eastAsia="宋体"/>
          <w:color w:val="000000" w:themeColor="text1"/>
          <w:highlight w:val="none"/>
          <w14:textFill>
            <w14:solidFill>
              <w14:schemeClr w14:val="tx1"/>
            </w14:solidFill>
          </w14:textFill>
        </w:rPr>
        <w:t>，</w:t>
      </w:r>
      <w:r>
        <w:rPr>
          <w:rFonts w:hint="eastAsia" w:hAnsi="宋体" w:eastAsia="宋体"/>
          <w:color w:val="000000" w:themeColor="text1"/>
          <w:highlight w:val="none"/>
          <w14:textFill>
            <w14:solidFill>
              <w14:schemeClr w14:val="tx1"/>
            </w14:solidFill>
          </w14:textFill>
        </w:rPr>
        <w:t>且寿命次数</w:t>
      </w:r>
      <w:r>
        <w:rPr>
          <w:rFonts w:hAnsi="宋体" w:eastAsia="宋体"/>
          <w:color w:val="000000" w:themeColor="text1"/>
          <w:highlight w:val="none"/>
          <w14:textFill>
            <w14:solidFill>
              <w14:schemeClr w14:val="tx1"/>
            </w14:solidFill>
          </w14:textFill>
        </w:rPr>
        <w:t>应不小于5</w:t>
      </w:r>
      <w:r>
        <w:rPr>
          <w:rFonts w:hint="eastAsia" w:hAnsi="宋体" w:eastAsia="宋体"/>
          <w:color w:val="000000" w:themeColor="text1"/>
          <w:highlight w:val="none"/>
          <w14:textFill>
            <w14:solidFill>
              <w14:schemeClr w14:val="tx1"/>
            </w14:solidFill>
          </w14:textFill>
        </w:rPr>
        <w:t>000次。</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振动试验</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2423.10的规定执行。</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环境试验</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低温试验</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2423.1—2008的规定执行。</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温热试验</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2423.4—2008的规定执行。</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霉菌试验</w:t>
      </w:r>
    </w:p>
    <w:p>
      <w:pPr>
        <w:pStyle w:val="26"/>
        <w:rPr>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2423.16的规定执行。</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盐雾试验</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按</w:t>
      </w:r>
      <w:r>
        <w:rPr>
          <w:rFonts w:hAnsi="宋体" w:eastAsia="宋体"/>
          <w:color w:val="000000" w:themeColor="text1"/>
          <w:highlight w:val="none"/>
          <w14:textFill>
            <w14:solidFill>
              <w14:schemeClr w14:val="tx1"/>
            </w14:solidFill>
          </w14:textFill>
        </w:rPr>
        <w:t>GB/T 2423.17的规定执行。</w:t>
      </w:r>
    </w:p>
    <w:p>
      <w:pPr>
        <w:pStyle w:val="34"/>
        <w:spacing w:before="156" w:after="156"/>
        <w:rPr>
          <w:rFonts w:hAnsi="等线"/>
          <w:color w:val="000000" w:themeColor="text1"/>
          <w:szCs w:val="20"/>
          <w:highlight w:val="none"/>
          <w14:textFill>
            <w14:solidFill>
              <w14:schemeClr w14:val="tx1"/>
            </w14:solidFill>
          </w14:textFill>
        </w:rPr>
      </w:pPr>
      <w:r>
        <w:rPr>
          <w:rFonts w:hAnsi="等线"/>
          <w:color w:val="000000" w:themeColor="text1"/>
          <w:szCs w:val="20"/>
          <w:highlight w:val="none"/>
          <w14:textFill>
            <w14:solidFill>
              <w14:schemeClr w14:val="tx1"/>
            </w14:solidFill>
          </w14:textFill>
        </w:rPr>
        <w:t>功能试验</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气体泄漏报警</w:t>
      </w:r>
    </w:p>
    <w:p>
      <w:pPr>
        <w:pStyle w:val="2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采用目视的方法进行试验。</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电缆插件温度信号</w:t>
      </w:r>
    </w:p>
    <w:p>
      <w:pPr>
        <w:pStyle w:val="2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采用目视的方法进行试验。</w:t>
      </w:r>
    </w:p>
    <w:p>
      <w:pPr>
        <w:pStyle w:val="33"/>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电缆接插件局放信号</w:t>
      </w:r>
    </w:p>
    <w:p>
      <w:pPr>
        <w:pStyle w:val="2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采用目视的方法进行试验。</w:t>
      </w:r>
    </w:p>
    <w:p>
      <w:pPr>
        <w:pStyle w:val="33"/>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电缆室弧光保护信号</w:t>
      </w:r>
    </w:p>
    <w:p>
      <w:pPr>
        <w:pStyle w:val="26"/>
        <w:rPr>
          <w:rFonts w:hAnsi="宋体" w:eastAsia="宋体"/>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采用目视的方法进行试验。</w:t>
      </w:r>
    </w:p>
    <w:p>
      <w:pPr>
        <w:pStyle w:val="31"/>
        <w:spacing w:before="312" w:after="312"/>
        <w:outlineLvl w:val="0"/>
        <w:rPr>
          <w:color w:val="000000" w:themeColor="text1"/>
          <w:highlight w:val="none"/>
          <w14:textFill>
            <w14:solidFill>
              <w14:schemeClr w14:val="tx1"/>
            </w14:solidFill>
          </w14:textFill>
        </w:rPr>
      </w:pPr>
      <w:bookmarkStart w:id="126" w:name="_Toc17785"/>
      <w:bookmarkStart w:id="127" w:name="_Toc2861"/>
      <w:bookmarkStart w:id="128" w:name="_Toc1971403154"/>
      <w:bookmarkStart w:id="129" w:name="_Toc1896994936"/>
      <w:bookmarkStart w:id="130" w:name="_Toc452554635"/>
      <w:bookmarkStart w:id="131" w:name="_Toc452554453"/>
      <w:bookmarkStart w:id="132" w:name="_Toc7414"/>
      <w:bookmarkStart w:id="133" w:name="_Toc457978763"/>
      <w:bookmarkStart w:id="134" w:name="_Toc9374"/>
      <w:bookmarkStart w:id="135" w:name="_Toc5311"/>
      <w:bookmarkStart w:id="136" w:name="_Toc22500"/>
      <w:r>
        <w:rPr>
          <w:rFonts w:hint="eastAsia"/>
          <w:color w:val="000000" w:themeColor="text1"/>
          <w:highlight w:val="none"/>
          <w14:textFill>
            <w14:solidFill>
              <w14:schemeClr w14:val="tx1"/>
            </w14:solidFill>
          </w14:textFill>
        </w:rPr>
        <w:t>检验规则</w:t>
      </w:r>
      <w:bookmarkEnd w:id="126"/>
      <w:bookmarkEnd w:id="127"/>
      <w:bookmarkEnd w:id="128"/>
      <w:bookmarkEnd w:id="129"/>
      <w:bookmarkEnd w:id="130"/>
      <w:bookmarkEnd w:id="131"/>
      <w:bookmarkEnd w:id="132"/>
      <w:bookmarkEnd w:id="133"/>
      <w:bookmarkEnd w:id="134"/>
      <w:bookmarkEnd w:id="135"/>
      <w:bookmarkEnd w:id="136"/>
    </w:p>
    <w:p>
      <w:pPr>
        <w:pStyle w:val="34"/>
        <w:spacing w:before="156" w:after="156"/>
        <w:rPr>
          <w:color w:val="000000" w:themeColor="text1"/>
          <w:highlight w:val="none"/>
          <w14:textFill>
            <w14:solidFill>
              <w14:schemeClr w14:val="tx1"/>
            </w14:solidFill>
          </w14:textFill>
        </w:rPr>
      </w:pPr>
      <w:bookmarkStart w:id="137" w:name="_Toc13480"/>
      <w:bookmarkStart w:id="138" w:name="_Toc20788"/>
      <w:bookmarkStart w:id="139" w:name="_Toc9725"/>
      <w:bookmarkStart w:id="140" w:name="_Toc18821"/>
      <w:r>
        <w:rPr>
          <w:rFonts w:hint="eastAsia"/>
          <w:color w:val="000000" w:themeColor="text1"/>
          <w:highlight w:val="none"/>
          <w14:textFill>
            <w14:solidFill>
              <w14:schemeClr w14:val="tx1"/>
            </w14:solidFill>
          </w14:textFill>
        </w:rPr>
        <w:t>检验分类</w:t>
      </w:r>
      <w:bookmarkEnd w:id="137"/>
      <w:bookmarkEnd w:id="138"/>
      <w:bookmarkEnd w:id="139"/>
      <w:bookmarkEnd w:id="140"/>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检验分为出厂检验和型式检验。</w:t>
      </w:r>
    </w:p>
    <w:p>
      <w:pPr>
        <w:pStyle w:val="34"/>
        <w:spacing w:before="156" w:after="156" w:line="360" w:lineRule="auto"/>
        <w:rPr>
          <w:rFonts w:hAnsi="宋体" w:eastAsia="宋体" w:cs="宋体"/>
          <w:color w:val="000000" w:themeColor="text1"/>
          <w:highlight w:val="none"/>
          <w14:textFill>
            <w14:solidFill>
              <w14:schemeClr w14:val="tx1"/>
            </w14:solidFill>
          </w14:textFill>
        </w:rPr>
      </w:pPr>
      <w:bookmarkStart w:id="141" w:name="_Toc10768"/>
      <w:bookmarkStart w:id="142" w:name="_Toc16232"/>
      <w:bookmarkStart w:id="143" w:name="_Toc32552"/>
      <w:bookmarkStart w:id="144" w:name="_Toc17916"/>
      <w:r>
        <w:rPr>
          <w:rFonts w:hint="eastAsia"/>
          <w:color w:val="000000" w:themeColor="text1"/>
          <w:highlight w:val="none"/>
          <w14:textFill>
            <w14:solidFill>
              <w14:schemeClr w14:val="tx1"/>
            </w14:solidFill>
          </w14:textFill>
        </w:rPr>
        <w:t>出厂检验</w:t>
      </w:r>
      <w:bookmarkEnd w:id="141"/>
      <w:bookmarkEnd w:id="142"/>
      <w:bookmarkEnd w:id="143"/>
      <w:bookmarkEnd w:id="144"/>
    </w:p>
    <w:p>
      <w:pPr>
        <w:pStyle w:val="26"/>
        <w:rPr>
          <w:color w:val="000000" w:themeColor="text1"/>
          <w:highlight w:val="none"/>
          <w14:textFill>
            <w14:solidFill>
              <w14:schemeClr w14:val="tx1"/>
            </w14:solidFill>
          </w14:textFill>
        </w:rPr>
      </w:pPr>
      <w:r>
        <w:rPr>
          <w:rFonts w:hint="eastAsia" w:hAnsi="宋体" w:eastAsia="宋体" w:cs="宋体"/>
          <w:color w:val="000000" w:themeColor="text1"/>
          <w:highlight w:val="none"/>
          <w14:textFill>
            <w14:solidFill>
              <w14:schemeClr w14:val="tx1"/>
            </w14:solidFill>
          </w14:textFill>
        </w:rPr>
        <w:t>产品出厂时，每台产品应进行检验，检验合格后出厂。</w:t>
      </w:r>
    </w:p>
    <w:p>
      <w:pPr>
        <w:pStyle w:val="34"/>
        <w:spacing w:before="156" w:after="156"/>
        <w:rPr>
          <w:color w:val="000000" w:themeColor="text1"/>
          <w:highlight w:val="none"/>
          <w14:textFill>
            <w14:solidFill>
              <w14:schemeClr w14:val="tx1"/>
            </w14:solidFill>
          </w14:textFill>
        </w:rPr>
      </w:pPr>
      <w:bookmarkStart w:id="145" w:name="_Toc9311"/>
      <w:bookmarkStart w:id="146" w:name="_Toc23030"/>
      <w:bookmarkStart w:id="147" w:name="_Toc880"/>
      <w:bookmarkStart w:id="148" w:name="_Toc16276"/>
      <w:r>
        <w:rPr>
          <w:rFonts w:hint="eastAsia"/>
          <w:color w:val="000000" w:themeColor="text1"/>
          <w:highlight w:val="none"/>
          <w14:textFill>
            <w14:solidFill>
              <w14:schemeClr w14:val="tx1"/>
            </w14:solidFill>
          </w14:textFill>
        </w:rPr>
        <w:t>型式试验</w:t>
      </w:r>
      <w:bookmarkEnd w:id="145"/>
      <w:bookmarkEnd w:id="146"/>
      <w:bookmarkEnd w:id="147"/>
      <w:bookmarkEnd w:id="148"/>
    </w:p>
    <w:p>
      <w:pPr>
        <w:pStyle w:val="26"/>
        <w:rPr>
          <w:rFonts w:hAnsi="宋体" w:eastAsia="宋体" w:cs="宋体"/>
          <w:color w:val="000000" w:themeColor="text1"/>
          <w:highlight w:val="none"/>
          <w14:textFill>
            <w14:solidFill>
              <w14:schemeClr w14:val="tx1"/>
            </w14:solidFill>
          </w14:textFill>
        </w:rPr>
      </w:pPr>
      <w:r>
        <w:rPr>
          <w:rFonts w:hint="eastAsia" w:hAnsi="宋体" w:eastAsia="宋体" w:cs="宋体"/>
          <w:color w:val="000000" w:themeColor="text1"/>
          <w:highlight w:val="none"/>
          <w14:textFill>
            <w14:solidFill>
              <w14:schemeClr w14:val="tx1"/>
            </w14:solidFill>
          </w14:textFill>
        </w:rPr>
        <w:t>型式试验的项目见表</w:t>
      </w:r>
      <w:r>
        <w:rPr>
          <w:rFonts w:hAnsi="宋体" w:eastAsia="宋体" w:cs="宋体"/>
          <w:color w:val="000000" w:themeColor="text1"/>
          <w:highlight w:val="none"/>
          <w14:textFill>
            <w14:solidFill>
              <w14:schemeClr w14:val="tx1"/>
            </w14:solidFill>
          </w14:textFill>
        </w:rPr>
        <w:t>5</w:t>
      </w:r>
      <w:r>
        <w:rPr>
          <w:rFonts w:hint="eastAsia" w:hAnsi="宋体" w:eastAsia="宋体" w:cs="宋体"/>
          <w:color w:val="000000" w:themeColor="text1"/>
          <w:highlight w:val="none"/>
          <w14:textFill>
            <w14:solidFill>
              <w14:schemeClr w14:val="tx1"/>
            </w14:solidFill>
          </w14:textFill>
        </w:rPr>
        <w:t>，新研发的产品样机，应进行全部型式试验，其它情形按GB/T</w:t>
      </w:r>
      <w:r>
        <w:rPr>
          <w:rFonts w:hAnsi="宋体" w:eastAsia="宋体" w:cs="宋体"/>
          <w:color w:val="000000" w:themeColor="text1"/>
          <w:highlight w:val="none"/>
          <w14:textFill>
            <w14:solidFill>
              <w14:schemeClr w14:val="tx1"/>
            </w14:solidFill>
          </w14:textFill>
        </w:rPr>
        <w:t xml:space="preserve"> </w:t>
      </w:r>
      <w:r>
        <w:rPr>
          <w:rFonts w:hint="eastAsia" w:hAnsi="宋体" w:eastAsia="宋体" w:cs="宋体"/>
          <w:color w:val="000000" w:themeColor="text1"/>
          <w:highlight w:val="none"/>
          <w14:textFill>
            <w14:solidFill>
              <w14:schemeClr w14:val="tx1"/>
            </w14:solidFill>
          </w14:textFill>
        </w:rPr>
        <w:t>3906</w:t>
      </w:r>
      <w:r>
        <w:rPr>
          <w:rFonts w:hAnsi="宋体" w:eastAsia="宋体" w:cs="宋体"/>
          <w:color w:val="000000" w:themeColor="text1"/>
          <w:highlight w:val="none"/>
          <w14:textFill>
            <w14:solidFill>
              <w14:schemeClr w14:val="tx1"/>
            </w14:solidFill>
          </w14:textFill>
        </w:rPr>
        <w:t>—</w:t>
      </w:r>
      <w:r>
        <w:rPr>
          <w:rFonts w:hint="eastAsia" w:hAnsi="宋体" w:eastAsia="宋体" w:cs="宋体"/>
          <w:color w:val="000000" w:themeColor="text1"/>
          <w:highlight w:val="none"/>
          <w14:textFill>
            <w14:solidFill>
              <w14:schemeClr w14:val="tx1"/>
            </w14:solidFill>
          </w14:textFill>
        </w:rPr>
        <w:t>2020的7.1.1的要求进行相关的型式试验。</w:t>
      </w:r>
    </w:p>
    <w:p>
      <w:pPr>
        <w:pStyle w:val="35"/>
        <w:spacing w:before="156" w:after="156"/>
        <w:jc w:val="both"/>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检验项目</w:t>
      </w:r>
    </w:p>
    <w:tbl>
      <w:tblPr>
        <w:tblStyle w:val="13"/>
        <w:tblW w:w="878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54"/>
        <w:gridCol w:w="1781"/>
        <w:gridCol w:w="1782"/>
        <w:gridCol w:w="1078"/>
        <w:gridCol w:w="1262"/>
        <w:gridCol w:w="906"/>
        <w:gridCol w:w="1019"/>
      </w:tblGrid>
      <w:tr>
        <w:trPr>
          <w:trHeight w:val="545" w:hRule="atLeast"/>
          <w:jc w:val="center"/>
        </w:trPr>
        <w:tc>
          <w:tcPr>
            <w:tcW w:w="954" w:type="dxa"/>
            <w:tcBorders>
              <w:top w:val="single" w:color="auto" w:sz="8" w:space="0"/>
              <w:bottom w:val="single" w:color="auto" w:sz="8" w:space="0"/>
            </w:tcBorders>
            <w:vAlign w:val="center"/>
          </w:tcPr>
          <w:p>
            <w:pPr>
              <w:spacing w:line="240" w:lineRule="exact"/>
              <w:jc w:val="center"/>
              <w:rPr>
                <w:rFonts w:ascii="宋体" w:hAnsi="宋体"/>
                <w:color w:val="000000" w:themeColor="text1"/>
                <w:sz w:val="18"/>
                <w:highlight w:val="none"/>
                <w14:textFill>
                  <w14:solidFill>
                    <w14:schemeClr w14:val="tx1"/>
                  </w14:solidFill>
                </w14:textFill>
              </w:rPr>
            </w:pPr>
            <w:r>
              <w:rPr>
                <w:rFonts w:hint="eastAsia" w:ascii="宋体" w:hAnsi="宋体"/>
                <w:color w:val="000000" w:themeColor="text1"/>
                <w:sz w:val="18"/>
                <w:highlight w:val="none"/>
                <w14:textFill>
                  <w14:solidFill>
                    <w14:schemeClr w14:val="tx1"/>
                  </w14:solidFill>
                </w14:textFill>
              </w:rPr>
              <w:t>序号</w:t>
            </w:r>
          </w:p>
        </w:tc>
        <w:tc>
          <w:tcPr>
            <w:tcW w:w="3563" w:type="dxa"/>
            <w:gridSpan w:val="2"/>
            <w:tcBorders>
              <w:top w:val="single" w:color="auto" w:sz="8" w:space="0"/>
              <w:bottom w:val="single" w:color="auto" w:sz="8" w:space="0"/>
            </w:tcBorders>
            <w:vAlign w:val="center"/>
          </w:tcPr>
          <w:p>
            <w:pPr>
              <w:spacing w:line="240" w:lineRule="exact"/>
              <w:jc w:val="center"/>
              <w:rPr>
                <w:rFonts w:ascii="宋体" w:hAnsi="宋体"/>
                <w:color w:val="000000" w:themeColor="text1"/>
                <w:sz w:val="18"/>
                <w:highlight w:val="none"/>
                <w14:textFill>
                  <w14:solidFill>
                    <w14:schemeClr w14:val="tx1"/>
                  </w14:solidFill>
                </w14:textFill>
              </w:rPr>
            </w:pPr>
            <w:r>
              <w:rPr>
                <w:rFonts w:hint="eastAsia" w:ascii="宋体" w:hAnsi="宋体"/>
                <w:color w:val="000000" w:themeColor="text1"/>
                <w:sz w:val="18"/>
                <w:highlight w:val="none"/>
                <w14:textFill>
                  <w14:solidFill>
                    <w14:schemeClr w14:val="tx1"/>
                  </w14:solidFill>
                </w14:textFill>
              </w:rPr>
              <w:t>项目</w:t>
            </w:r>
          </w:p>
        </w:tc>
        <w:tc>
          <w:tcPr>
            <w:tcW w:w="1078" w:type="dxa"/>
            <w:tcBorders>
              <w:top w:val="single" w:color="auto" w:sz="8" w:space="0"/>
              <w:bottom w:val="single" w:color="auto" w:sz="8" w:space="0"/>
            </w:tcBorders>
            <w:vAlign w:val="center"/>
          </w:tcPr>
          <w:p>
            <w:pPr>
              <w:spacing w:line="240" w:lineRule="exact"/>
              <w:ind w:left="-42" w:leftChars="-20" w:right="-42" w:rightChars="-20"/>
              <w:jc w:val="center"/>
              <w:rPr>
                <w:rFonts w:ascii="宋体" w:hAnsi="宋体"/>
                <w:color w:val="000000" w:themeColor="text1"/>
                <w:sz w:val="18"/>
                <w:highlight w:val="none"/>
                <w14:textFill>
                  <w14:solidFill>
                    <w14:schemeClr w14:val="tx1"/>
                  </w14:solidFill>
                </w14:textFill>
              </w:rPr>
            </w:pPr>
            <w:r>
              <w:rPr>
                <w:rFonts w:hint="eastAsia" w:ascii="宋体" w:hAnsi="宋体"/>
                <w:color w:val="000000" w:themeColor="text1"/>
                <w:sz w:val="18"/>
                <w:highlight w:val="none"/>
                <w14:textFill>
                  <w14:solidFill>
                    <w14:schemeClr w14:val="tx1"/>
                  </w14:solidFill>
                </w14:textFill>
              </w:rPr>
              <w:t>技术要求</w:t>
            </w:r>
          </w:p>
        </w:tc>
        <w:tc>
          <w:tcPr>
            <w:tcW w:w="1262" w:type="dxa"/>
            <w:tcBorders>
              <w:top w:val="single" w:color="auto" w:sz="8" w:space="0"/>
              <w:bottom w:val="single" w:color="auto" w:sz="8" w:space="0"/>
            </w:tcBorders>
            <w:vAlign w:val="center"/>
          </w:tcPr>
          <w:p>
            <w:pPr>
              <w:spacing w:line="240" w:lineRule="exact"/>
              <w:ind w:right="-42" w:rightChars="-20"/>
              <w:jc w:val="center"/>
              <w:rPr>
                <w:rFonts w:ascii="宋体" w:hAnsi="宋体"/>
                <w:color w:val="000000" w:themeColor="text1"/>
                <w:sz w:val="18"/>
                <w:highlight w:val="none"/>
                <w14:textFill>
                  <w14:solidFill>
                    <w14:schemeClr w14:val="tx1"/>
                  </w14:solidFill>
                </w14:textFill>
              </w:rPr>
            </w:pPr>
            <w:r>
              <w:rPr>
                <w:rFonts w:hint="eastAsia" w:ascii="宋体" w:hAnsi="宋体"/>
                <w:color w:val="000000" w:themeColor="text1"/>
                <w:sz w:val="18"/>
                <w:highlight w:val="none"/>
                <w14:textFill>
                  <w14:solidFill>
                    <w14:schemeClr w14:val="tx1"/>
                  </w14:solidFill>
                </w14:textFill>
              </w:rPr>
              <w:t>试验方法</w:t>
            </w:r>
          </w:p>
        </w:tc>
        <w:tc>
          <w:tcPr>
            <w:tcW w:w="906" w:type="dxa"/>
            <w:tcBorders>
              <w:top w:val="single" w:color="auto" w:sz="8" w:space="0"/>
              <w:bottom w:val="single" w:color="auto" w:sz="8" w:space="0"/>
            </w:tcBorders>
            <w:vAlign w:val="center"/>
          </w:tcPr>
          <w:p>
            <w:pPr>
              <w:spacing w:line="240" w:lineRule="exact"/>
              <w:ind w:right="-42" w:rightChars="-20"/>
              <w:jc w:val="center"/>
              <w:rPr>
                <w:rFonts w:ascii="宋体" w:hAnsi="宋体"/>
                <w:color w:val="000000" w:themeColor="text1"/>
                <w:sz w:val="18"/>
                <w:highlight w:val="none"/>
                <w14:textFill>
                  <w14:solidFill>
                    <w14:schemeClr w14:val="tx1"/>
                  </w14:solidFill>
                </w14:textFill>
              </w:rPr>
            </w:pPr>
            <w:r>
              <w:rPr>
                <w:rFonts w:hint="eastAsia" w:ascii="宋体" w:hAnsi="宋体"/>
                <w:color w:val="000000" w:themeColor="text1"/>
                <w:sz w:val="18"/>
                <w:highlight w:val="none"/>
                <w14:textFill>
                  <w14:solidFill>
                    <w14:schemeClr w14:val="tx1"/>
                  </w14:solidFill>
                </w14:textFill>
              </w:rPr>
              <w:t>出厂检验</w:t>
            </w:r>
          </w:p>
        </w:tc>
        <w:tc>
          <w:tcPr>
            <w:tcW w:w="1019" w:type="dxa"/>
            <w:tcBorders>
              <w:top w:val="single" w:color="auto" w:sz="8" w:space="0"/>
              <w:bottom w:val="single" w:color="auto" w:sz="8" w:space="0"/>
            </w:tcBorders>
            <w:vAlign w:val="center"/>
          </w:tcPr>
          <w:p>
            <w:pPr>
              <w:spacing w:line="240" w:lineRule="exact"/>
              <w:ind w:right="-42" w:rightChars="-20"/>
              <w:jc w:val="center"/>
              <w:rPr>
                <w:rFonts w:ascii="宋体" w:hAnsi="宋体"/>
                <w:color w:val="000000" w:themeColor="text1"/>
                <w:sz w:val="18"/>
                <w:highlight w:val="none"/>
                <w14:textFill>
                  <w14:solidFill>
                    <w14:schemeClr w14:val="tx1"/>
                  </w14:solidFill>
                </w14:textFill>
              </w:rPr>
            </w:pPr>
            <w:r>
              <w:rPr>
                <w:rFonts w:hint="eastAsia" w:ascii="宋体" w:hAnsi="宋体"/>
                <w:color w:val="000000" w:themeColor="text1"/>
                <w:sz w:val="18"/>
                <w:highlight w:val="none"/>
                <w14:textFill>
                  <w14:solidFill>
                    <w14:schemeClr w14:val="tx1"/>
                  </w14:solidFill>
                </w14:textFill>
              </w:rPr>
              <w:t>型式试验</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cantSplit/>
          <w:trHeight w:val="269" w:hRule="atLeast"/>
          <w:jc w:val="center"/>
        </w:trPr>
        <w:tc>
          <w:tcPr>
            <w:tcW w:w="954" w:type="dxa"/>
            <w:tcBorders>
              <w:top w:val="single" w:color="auto" w:sz="8" w:space="0"/>
            </w:tcBorders>
            <w:vAlign w:val="center"/>
          </w:tcPr>
          <w:p>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w:t>
            </w:r>
          </w:p>
        </w:tc>
        <w:tc>
          <w:tcPr>
            <w:tcW w:w="3563" w:type="dxa"/>
            <w:gridSpan w:val="2"/>
            <w:tcBorders>
              <w:top w:val="single" w:color="auto" w:sz="8" w:space="0"/>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设计</w:t>
            </w:r>
            <w:r>
              <w:rPr>
                <w:rFonts w:hint="eastAsia" w:ascii="宋体" w:hAnsi="宋体" w:eastAsia="宋体" w:cs="宋体"/>
                <w:color w:val="000000" w:themeColor="text1"/>
                <w:szCs w:val="21"/>
                <w:highlight w:val="none"/>
                <w14:textFill>
                  <w14:solidFill>
                    <w14:schemeClr w14:val="tx1"/>
                  </w14:solidFill>
                </w14:textFill>
              </w:rPr>
              <w:t>检查和外观检查</w:t>
            </w:r>
          </w:p>
        </w:tc>
        <w:tc>
          <w:tcPr>
            <w:tcW w:w="1078" w:type="dxa"/>
            <w:tcBorders>
              <w:top w:val="single" w:color="auto" w:sz="8" w:space="0"/>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6.2.1</w:t>
            </w:r>
          </w:p>
        </w:tc>
        <w:tc>
          <w:tcPr>
            <w:tcW w:w="1262" w:type="dxa"/>
            <w:tcBorders>
              <w:top w:val="single" w:color="auto" w:sz="8" w:space="0"/>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7.4</w:t>
            </w:r>
          </w:p>
        </w:tc>
        <w:tc>
          <w:tcPr>
            <w:tcW w:w="906" w:type="dxa"/>
            <w:tcBorders>
              <w:top w:val="single" w:color="auto" w:sz="8" w:space="0"/>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c>
          <w:tcPr>
            <w:tcW w:w="1019" w:type="dxa"/>
            <w:tcBorders>
              <w:top w:val="single" w:color="auto" w:sz="8" w:space="0"/>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2</w:t>
            </w:r>
          </w:p>
        </w:tc>
        <w:tc>
          <w:tcPr>
            <w:tcW w:w="1781" w:type="dxa"/>
            <w:vMerge w:val="restart"/>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绝缘试验</w:t>
            </w:r>
          </w:p>
        </w:tc>
        <w:tc>
          <w:tcPr>
            <w:tcW w:w="1782"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1min工频耐压试验</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6.1.3</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7.5.7</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3</w:t>
            </w:r>
          </w:p>
        </w:tc>
        <w:tc>
          <w:tcPr>
            <w:tcW w:w="1781" w:type="dxa"/>
            <w:vMerge w:val="continue"/>
            <w:vAlign w:val="center"/>
          </w:tcPr>
          <w:p>
            <w:pPr>
              <w:jc w:val="center"/>
              <w:rPr>
                <w:rFonts w:ascii="宋体" w:hAnsi="宋体" w:eastAsia="宋体" w:cs="宋体"/>
                <w:color w:val="000000" w:themeColor="text1"/>
                <w:szCs w:val="21"/>
                <w:highlight w:val="none"/>
                <w14:textFill>
                  <w14:solidFill>
                    <w14:schemeClr w14:val="tx1"/>
                  </w14:solidFill>
                </w14:textFill>
              </w:rPr>
            </w:pPr>
          </w:p>
        </w:tc>
        <w:tc>
          <w:tcPr>
            <w:tcW w:w="1782"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雷电冲击试验</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6.1.3</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7.5.8</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4</w:t>
            </w:r>
          </w:p>
        </w:tc>
        <w:tc>
          <w:tcPr>
            <w:tcW w:w="1781" w:type="dxa"/>
            <w:vMerge w:val="continue"/>
            <w:vAlign w:val="center"/>
          </w:tcPr>
          <w:p>
            <w:pPr>
              <w:jc w:val="center"/>
              <w:rPr>
                <w:rFonts w:ascii="宋体" w:hAnsi="宋体" w:eastAsia="宋体" w:cs="宋体"/>
                <w:color w:val="000000" w:themeColor="text1"/>
                <w:szCs w:val="21"/>
                <w:highlight w:val="none"/>
                <w14:textFill>
                  <w14:solidFill>
                    <w14:schemeClr w14:val="tx1"/>
                  </w14:solidFill>
                </w14:textFill>
              </w:rPr>
            </w:pPr>
          </w:p>
        </w:tc>
        <w:tc>
          <w:tcPr>
            <w:tcW w:w="1782"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局部放电试验</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w:t>
            </w:r>
            <w:r>
              <w:rPr>
                <w:rFonts w:hint="eastAsia" w:ascii="宋体" w:hAnsi="宋体" w:cs="宋体"/>
                <w:color w:val="000000" w:themeColor="text1"/>
                <w:szCs w:val="21"/>
                <w:highlight w:val="none"/>
                <w14:textFill>
                  <w14:solidFill>
                    <w14:schemeClr w14:val="tx1"/>
                  </w14:solidFill>
                </w14:textFill>
              </w:rPr>
              <w:t>2</w:t>
            </w:r>
            <w:r>
              <w:rPr>
                <w:rFonts w:ascii="宋体" w:hAnsi="宋体" w:cs="宋体"/>
                <w:color w:val="000000" w:themeColor="text1"/>
                <w:szCs w:val="21"/>
                <w:highlight w:val="none"/>
                <w14:textFill>
                  <w14:solidFill>
                    <w14:schemeClr w14:val="tx1"/>
                  </w14:solidFill>
                </w14:textFill>
              </w:rPr>
              <w:t>8</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7.5.9</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5</w:t>
            </w:r>
          </w:p>
        </w:tc>
        <w:tc>
          <w:tcPr>
            <w:tcW w:w="1781" w:type="dxa"/>
            <w:vMerge w:val="continue"/>
            <w:vAlign w:val="center"/>
          </w:tcPr>
          <w:p>
            <w:pPr>
              <w:jc w:val="center"/>
              <w:rPr>
                <w:rFonts w:ascii="宋体" w:hAnsi="宋体" w:eastAsia="宋体" w:cs="宋体"/>
                <w:color w:val="000000" w:themeColor="text1"/>
                <w:szCs w:val="21"/>
                <w:highlight w:val="none"/>
                <w14:textFill>
                  <w14:solidFill>
                    <w14:schemeClr w14:val="tx1"/>
                  </w14:solidFill>
                </w14:textFill>
              </w:rPr>
            </w:pPr>
          </w:p>
        </w:tc>
        <w:tc>
          <w:tcPr>
            <w:tcW w:w="1782"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辅助和控制回路的绝缘试验</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6.2.5</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7.5.10</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6</w:t>
            </w:r>
          </w:p>
        </w:tc>
        <w:tc>
          <w:tcPr>
            <w:tcW w:w="1781" w:type="dxa"/>
            <w:vMerge w:val="continue"/>
            <w:vAlign w:val="center"/>
          </w:tcPr>
          <w:p>
            <w:pPr>
              <w:jc w:val="center"/>
              <w:rPr>
                <w:rFonts w:ascii="宋体" w:hAnsi="宋体" w:eastAsia="宋体" w:cs="宋体"/>
                <w:color w:val="000000" w:themeColor="text1"/>
                <w:szCs w:val="21"/>
                <w:highlight w:val="none"/>
                <w14:textFill>
                  <w14:solidFill>
                    <w14:schemeClr w14:val="tx1"/>
                  </w14:solidFill>
                </w14:textFill>
              </w:rPr>
            </w:pPr>
          </w:p>
        </w:tc>
        <w:tc>
          <w:tcPr>
            <w:tcW w:w="1782"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电缆试验回路的试验</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w:t>
            </w:r>
            <w:r>
              <w:rPr>
                <w:rFonts w:hint="eastAsia" w:ascii="宋体" w:hAnsi="宋体" w:cs="宋体"/>
                <w:color w:val="000000" w:themeColor="text1"/>
                <w:szCs w:val="21"/>
                <w:highlight w:val="none"/>
                <w14:textFill>
                  <w14:solidFill>
                    <w14:schemeClr w14:val="tx1"/>
                  </w14:solidFill>
                </w14:textFill>
              </w:rPr>
              <w:t>23</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7.5.12</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7</w:t>
            </w:r>
          </w:p>
        </w:tc>
        <w:tc>
          <w:tcPr>
            <w:tcW w:w="3563" w:type="dxa"/>
            <w:gridSpan w:val="2"/>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回路电阻测量</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w:t>
            </w:r>
            <w:r>
              <w:rPr>
                <w:rFonts w:hint="eastAsia" w:ascii="宋体" w:hAnsi="宋体" w:cs="宋体"/>
                <w:color w:val="000000" w:themeColor="text1"/>
                <w:szCs w:val="21"/>
                <w:highlight w:val="none"/>
                <w14:textFill>
                  <w14:solidFill>
                    <w14:schemeClr w14:val="tx1"/>
                  </w14:solidFill>
                </w14:textFill>
              </w:rPr>
              <w:t>29</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7.6</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151" w:hRule="atLeast"/>
          <w:jc w:val="center"/>
        </w:trPr>
        <w:tc>
          <w:tcPr>
            <w:tcW w:w="954" w:type="dxa"/>
            <w:vMerge w:val="restart"/>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8</w:t>
            </w:r>
          </w:p>
        </w:tc>
        <w:tc>
          <w:tcPr>
            <w:tcW w:w="3563" w:type="dxa"/>
            <w:gridSpan w:val="2"/>
            <w:vMerge w:val="restart"/>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短时耐受电流和峰值耐受电流试验</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6.1.6</w:t>
            </w:r>
          </w:p>
        </w:tc>
        <w:tc>
          <w:tcPr>
            <w:tcW w:w="1262" w:type="dxa"/>
            <w:vMerge w:val="restart"/>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7.7</w:t>
            </w:r>
          </w:p>
        </w:tc>
        <w:tc>
          <w:tcPr>
            <w:tcW w:w="906" w:type="dxa"/>
            <w:vMerge w:val="restart"/>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vMerge w:val="restart"/>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90" w:hRule="atLeast"/>
          <w:jc w:val="center"/>
        </w:trPr>
        <w:tc>
          <w:tcPr>
            <w:tcW w:w="954" w:type="dxa"/>
            <w:vMerge w:val="continue"/>
            <w:vAlign w:val="center"/>
          </w:tcPr>
          <w:p>
            <w:pPr>
              <w:jc w:val="center"/>
              <w:rPr>
                <w:color w:val="000000" w:themeColor="text1"/>
                <w:highlight w:val="none"/>
                <w14:textFill>
                  <w14:solidFill>
                    <w14:schemeClr w14:val="tx1"/>
                  </w14:solidFill>
                </w14:textFill>
              </w:rPr>
            </w:pPr>
          </w:p>
        </w:tc>
        <w:tc>
          <w:tcPr>
            <w:tcW w:w="3563" w:type="dxa"/>
            <w:gridSpan w:val="2"/>
            <w:vMerge w:val="continue"/>
            <w:vAlign w:val="center"/>
          </w:tcPr>
          <w:p>
            <w:pPr>
              <w:jc w:val="center"/>
              <w:rPr>
                <w:color w:val="000000" w:themeColor="text1"/>
                <w:highlight w:val="none"/>
                <w14:textFill>
                  <w14:solidFill>
                    <w14:schemeClr w14:val="tx1"/>
                  </w14:solidFill>
                </w14:textFill>
              </w:rPr>
            </w:pP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6.1.7</w:t>
            </w:r>
          </w:p>
        </w:tc>
        <w:tc>
          <w:tcPr>
            <w:tcW w:w="1262" w:type="dxa"/>
            <w:vMerge w:val="continue"/>
            <w:vAlign w:val="center"/>
          </w:tcPr>
          <w:p>
            <w:pPr>
              <w:jc w:val="center"/>
              <w:rPr>
                <w:rFonts w:ascii="宋体" w:hAnsi="宋体" w:cs="宋体"/>
                <w:color w:val="000000" w:themeColor="text1"/>
                <w:szCs w:val="21"/>
                <w:highlight w:val="none"/>
                <w14:textFill>
                  <w14:solidFill>
                    <w14:schemeClr w14:val="tx1"/>
                  </w14:solidFill>
                </w14:textFill>
              </w:rPr>
            </w:pPr>
          </w:p>
        </w:tc>
        <w:tc>
          <w:tcPr>
            <w:tcW w:w="906" w:type="dxa"/>
            <w:vMerge w:val="continue"/>
            <w:vAlign w:val="center"/>
          </w:tcPr>
          <w:p>
            <w:pPr>
              <w:jc w:val="center"/>
              <w:rPr>
                <w:rFonts w:ascii="宋体" w:hAnsi="宋体" w:cs="宋体"/>
                <w:color w:val="000000" w:themeColor="text1"/>
                <w:szCs w:val="21"/>
                <w:highlight w:val="none"/>
                <w14:textFill>
                  <w14:solidFill>
                    <w14:schemeClr w14:val="tx1"/>
                  </w14:solidFill>
                </w14:textFill>
              </w:rPr>
            </w:pPr>
          </w:p>
        </w:tc>
        <w:tc>
          <w:tcPr>
            <w:tcW w:w="1019" w:type="dxa"/>
            <w:vMerge w:val="continue"/>
            <w:vAlign w:val="center"/>
          </w:tcPr>
          <w:p>
            <w:pPr>
              <w:jc w:val="center"/>
              <w:rPr>
                <w:rFonts w:ascii="宋体" w:hAnsi="宋体" w:cs="宋体"/>
                <w:color w:val="000000" w:themeColor="text1"/>
                <w:szCs w:val="21"/>
                <w:highlight w:val="none"/>
                <w14:textFill>
                  <w14:solidFill>
                    <w14:schemeClr w14:val="tx1"/>
                  </w14:solidFill>
                </w14:textFill>
              </w:rPr>
            </w:pPr>
          </w:p>
        </w:tc>
      </w:tr>
      <w:tr>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9</w:t>
            </w:r>
          </w:p>
        </w:tc>
        <w:tc>
          <w:tcPr>
            <w:tcW w:w="1781" w:type="dxa"/>
            <w:vMerge w:val="restart"/>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防护等级验证</w:t>
            </w:r>
          </w:p>
          <w:p>
            <w:pPr>
              <w:jc w:val="center"/>
              <w:rPr>
                <w:rFonts w:ascii="宋体" w:hAnsi="宋体" w:eastAsia="宋体" w:cs="宋体"/>
                <w:color w:val="000000" w:themeColor="text1"/>
                <w:szCs w:val="21"/>
                <w:highlight w:val="none"/>
                <w14:textFill>
                  <w14:solidFill>
                    <w14:schemeClr w14:val="tx1"/>
                  </w14:solidFill>
                </w14:textFill>
              </w:rPr>
            </w:pPr>
          </w:p>
        </w:tc>
        <w:tc>
          <w:tcPr>
            <w:tcW w:w="1782" w:type="dxa"/>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IP代码的验证</w:t>
            </w:r>
          </w:p>
          <w:p>
            <w:pPr>
              <w:jc w:val="center"/>
              <w:rPr>
                <w:rFonts w:ascii="宋体" w:hAnsi="宋体" w:eastAsia="宋体" w:cs="宋体"/>
                <w:color w:val="000000" w:themeColor="text1"/>
                <w:szCs w:val="21"/>
                <w:highlight w:val="none"/>
                <w14:textFill>
                  <w14:solidFill>
                    <w14:schemeClr w14:val="tx1"/>
                  </w14:solidFill>
                </w14:textFill>
              </w:rPr>
            </w:pP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6.2.1</w:t>
            </w:r>
            <w:r>
              <w:rPr>
                <w:rFonts w:hint="eastAsia" w:ascii="宋体" w:hAnsi="宋体" w:cs="宋体"/>
                <w:color w:val="000000" w:themeColor="text1"/>
                <w:szCs w:val="21"/>
                <w:highlight w:val="none"/>
                <w14:textFill>
                  <w14:solidFill>
                    <w14:schemeClr w14:val="tx1"/>
                  </w14:solidFill>
                </w14:textFill>
              </w:rPr>
              <w:t>3</w:t>
            </w:r>
            <w:r>
              <w:rPr>
                <w:rFonts w:ascii="宋体" w:hAnsi="宋体" w:cs="宋体"/>
                <w:color w:val="000000" w:themeColor="text1"/>
                <w:szCs w:val="21"/>
                <w:highlight w:val="none"/>
                <w14:textFill>
                  <w14:solidFill>
                    <w14:schemeClr w14:val="tx1"/>
                  </w14:solidFill>
                </w14:textFill>
              </w:rPr>
              <w:t>.2</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7.8.1</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90"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10</w:t>
            </w:r>
          </w:p>
        </w:tc>
        <w:tc>
          <w:tcPr>
            <w:tcW w:w="1781" w:type="dxa"/>
            <w:vMerge w:val="continue"/>
            <w:vAlign w:val="center"/>
          </w:tcPr>
          <w:p>
            <w:pPr>
              <w:jc w:val="center"/>
              <w:rPr>
                <w:rFonts w:ascii="宋体" w:hAnsi="宋体" w:eastAsia="宋体" w:cs="宋体"/>
                <w:color w:val="000000" w:themeColor="text1"/>
                <w:szCs w:val="21"/>
                <w:highlight w:val="none"/>
                <w14:textFill>
                  <w14:solidFill>
                    <w14:schemeClr w14:val="tx1"/>
                  </w14:solidFill>
                </w14:textFill>
              </w:rPr>
            </w:pPr>
          </w:p>
        </w:tc>
        <w:tc>
          <w:tcPr>
            <w:tcW w:w="1782" w:type="dxa"/>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IK代码的验证</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6.2.1</w:t>
            </w:r>
            <w:r>
              <w:rPr>
                <w:rFonts w:hint="eastAsia" w:ascii="宋体" w:hAnsi="宋体" w:cs="宋体"/>
                <w:color w:val="000000" w:themeColor="text1"/>
                <w:szCs w:val="21"/>
                <w:highlight w:val="none"/>
                <w14:textFill>
                  <w14:solidFill>
                    <w14:schemeClr w14:val="tx1"/>
                  </w14:solidFill>
                </w14:textFill>
              </w:rPr>
              <w:t>3</w:t>
            </w:r>
            <w:r>
              <w:rPr>
                <w:rFonts w:ascii="宋体" w:hAnsi="宋体" w:cs="宋体"/>
                <w:color w:val="000000" w:themeColor="text1"/>
                <w:szCs w:val="21"/>
                <w:highlight w:val="none"/>
                <w14:textFill>
                  <w14:solidFill>
                    <w14:schemeClr w14:val="tx1"/>
                  </w14:solidFill>
                </w14:textFill>
              </w:rPr>
              <w:t>.3</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7.8.2</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11</w:t>
            </w:r>
          </w:p>
        </w:tc>
        <w:tc>
          <w:tcPr>
            <w:tcW w:w="3563" w:type="dxa"/>
            <w:gridSpan w:val="2"/>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密封试验</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w:t>
            </w:r>
            <w:r>
              <w:rPr>
                <w:rFonts w:hint="eastAsia" w:ascii="宋体" w:hAnsi="宋体" w:cs="宋体"/>
                <w:color w:val="000000" w:themeColor="text1"/>
                <w:szCs w:val="21"/>
                <w:highlight w:val="none"/>
                <w14:textFill>
                  <w14:solidFill>
                    <w14:schemeClr w14:val="tx1"/>
                  </w14:solidFill>
                </w14:textFill>
              </w:rPr>
              <w:t>15</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7.9</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12</w:t>
            </w:r>
          </w:p>
        </w:tc>
        <w:tc>
          <w:tcPr>
            <w:tcW w:w="3563" w:type="dxa"/>
            <w:gridSpan w:val="2"/>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电磁兼容性试验（EMC）</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w:t>
            </w:r>
            <w:r>
              <w:rPr>
                <w:rFonts w:hint="eastAsia" w:ascii="宋体" w:hAnsi="宋体" w:cs="宋体"/>
                <w:color w:val="000000" w:themeColor="text1"/>
                <w:szCs w:val="21"/>
                <w:highlight w:val="none"/>
                <w14:textFill>
                  <w14:solidFill>
                    <w14:schemeClr w14:val="tx1"/>
                  </w14:solidFill>
                </w14:textFill>
              </w:rPr>
              <w:t>17</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7.10</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13</w:t>
            </w:r>
          </w:p>
        </w:tc>
        <w:tc>
          <w:tcPr>
            <w:tcW w:w="3563" w:type="dxa"/>
            <w:gridSpan w:val="2"/>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辅助和控制回路的附加试验</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w:t>
            </w:r>
            <w:r>
              <w:rPr>
                <w:rFonts w:hint="eastAsia" w:ascii="宋体" w:hAnsi="宋体" w:cs="宋体"/>
                <w:color w:val="000000" w:themeColor="text1"/>
                <w:szCs w:val="21"/>
                <w:highlight w:val="none"/>
                <w14:textFill>
                  <w14:solidFill>
                    <w14:schemeClr w14:val="tx1"/>
                  </w14:solidFill>
                </w14:textFill>
              </w:rPr>
              <w:t>5</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7.11</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14</w:t>
            </w:r>
          </w:p>
        </w:tc>
        <w:tc>
          <w:tcPr>
            <w:tcW w:w="3563" w:type="dxa"/>
            <w:gridSpan w:val="2"/>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真空灭弧室的X射线试验程序</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w:t>
            </w:r>
            <w:r>
              <w:rPr>
                <w:rFonts w:hint="eastAsia" w:ascii="宋体" w:hAnsi="宋体" w:cs="宋体"/>
                <w:color w:val="000000" w:themeColor="text1"/>
                <w:szCs w:val="21"/>
                <w:highlight w:val="none"/>
                <w14:textFill>
                  <w14:solidFill>
                    <w14:schemeClr w14:val="tx1"/>
                  </w14:solidFill>
                </w14:textFill>
              </w:rPr>
              <w:t>18</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7.12</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75" w:hRule="atLeast"/>
          <w:jc w:val="center"/>
        </w:trPr>
        <w:tc>
          <w:tcPr>
            <w:tcW w:w="954" w:type="dxa"/>
            <w:vMerge w:val="restart"/>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15</w:t>
            </w:r>
          </w:p>
        </w:tc>
        <w:tc>
          <w:tcPr>
            <w:tcW w:w="3563" w:type="dxa"/>
            <w:gridSpan w:val="2"/>
            <w:vMerge w:val="restart"/>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机械操作试验</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w:t>
            </w:r>
            <w:r>
              <w:rPr>
                <w:rFonts w:hint="eastAsia" w:ascii="宋体" w:hAnsi="宋体" w:cs="宋体"/>
                <w:color w:val="000000" w:themeColor="text1"/>
                <w:szCs w:val="21"/>
                <w:highlight w:val="none"/>
                <w14:textFill>
                  <w14:solidFill>
                    <w14:schemeClr w14:val="tx1"/>
                  </w14:solidFill>
                </w14:textFill>
              </w:rPr>
              <w:t>6</w:t>
            </w:r>
          </w:p>
        </w:tc>
        <w:tc>
          <w:tcPr>
            <w:tcW w:w="1262" w:type="dxa"/>
            <w:vMerge w:val="restart"/>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7.14</w:t>
            </w:r>
          </w:p>
        </w:tc>
        <w:tc>
          <w:tcPr>
            <w:tcW w:w="906" w:type="dxa"/>
            <w:vMerge w:val="restart"/>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p>
            <w:pPr>
              <w:jc w:val="center"/>
              <w:rPr>
                <w:rFonts w:ascii="宋体" w:hAnsi="宋体" w:cs="宋体"/>
                <w:color w:val="000000" w:themeColor="text1"/>
                <w:szCs w:val="21"/>
                <w:highlight w:val="none"/>
                <w14:textFill>
                  <w14:solidFill>
                    <w14:schemeClr w14:val="tx1"/>
                  </w14:solidFill>
                </w14:textFill>
              </w:rPr>
            </w:pPr>
          </w:p>
        </w:tc>
        <w:tc>
          <w:tcPr>
            <w:tcW w:w="1019" w:type="dxa"/>
            <w:vMerge w:val="restart"/>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75" w:hRule="atLeast"/>
          <w:jc w:val="center"/>
        </w:trPr>
        <w:tc>
          <w:tcPr>
            <w:tcW w:w="954" w:type="dxa"/>
            <w:vMerge w:val="continue"/>
            <w:vAlign w:val="center"/>
          </w:tcPr>
          <w:p>
            <w:pPr>
              <w:jc w:val="center"/>
              <w:rPr>
                <w:color w:val="000000" w:themeColor="text1"/>
                <w:highlight w:val="none"/>
                <w14:textFill>
                  <w14:solidFill>
                    <w14:schemeClr w14:val="tx1"/>
                  </w14:solidFill>
                </w14:textFill>
              </w:rPr>
            </w:pPr>
          </w:p>
        </w:tc>
        <w:tc>
          <w:tcPr>
            <w:tcW w:w="3563" w:type="dxa"/>
            <w:gridSpan w:val="2"/>
            <w:vMerge w:val="continue"/>
            <w:vAlign w:val="center"/>
          </w:tcPr>
          <w:p>
            <w:pPr>
              <w:jc w:val="center"/>
              <w:rPr>
                <w:color w:val="000000" w:themeColor="text1"/>
                <w:highlight w:val="none"/>
                <w14:textFill>
                  <w14:solidFill>
                    <w14:schemeClr w14:val="tx1"/>
                  </w14:solidFill>
                </w14:textFill>
              </w:rPr>
            </w:pP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w:t>
            </w:r>
            <w:r>
              <w:rPr>
                <w:rFonts w:hint="eastAsia" w:ascii="宋体" w:hAnsi="宋体" w:cs="宋体"/>
                <w:color w:val="000000" w:themeColor="text1"/>
                <w:szCs w:val="21"/>
                <w:highlight w:val="none"/>
                <w14:textFill>
                  <w14:solidFill>
                    <w14:schemeClr w14:val="tx1"/>
                  </w14:solidFill>
                </w14:textFill>
              </w:rPr>
              <w:t>7</w:t>
            </w:r>
          </w:p>
        </w:tc>
        <w:tc>
          <w:tcPr>
            <w:tcW w:w="1262" w:type="dxa"/>
            <w:vMerge w:val="continue"/>
            <w:vAlign w:val="center"/>
          </w:tcPr>
          <w:p>
            <w:pPr>
              <w:jc w:val="center"/>
              <w:rPr>
                <w:rFonts w:ascii="宋体" w:hAnsi="宋体" w:cs="宋体"/>
                <w:color w:val="000000" w:themeColor="text1"/>
                <w:szCs w:val="21"/>
                <w:highlight w:val="none"/>
                <w14:textFill>
                  <w14:solidFill>
                    <w14:schemeClr w14:val="tx1"/>
                  </w14:solidFill>
                </w14:textFill>
              </w:rPr>
            </w:pPr>
          </w:p>
        </w:tc>
        <w:tc>
          <w:tcPr>
            <w:tcW w:w="906" w:type="dxa"/>
            <w:vMerge w:val="continue"/>
            <w:vAlign w:val="center"/>
          </w:tcPr>
          <w:p>
            <w:pPr>
              <w:jc w:val="center"/>
              <w:rPr>
                <w:rFonts w:ascii="宋体" w:hAnsi="宋体" w:cs="宋体"/>
                <w:color w:val="000000" w:themeColor="text1"/>
                <w:szCs w:val="21"/>
                <w:highlight w:val="none"/>
                <w14:textFill>
                  <w14:solidFill>
                    <w14:schemeClr w14:val="tx1"/>
                  </w14:solidFill>
                </w14:textFill>
              </w:rPr>
            </w:pPr>
          </w:p>
        </w:tc>
        <w:tc>
          <w:tcPr>
            <w:tcW w:w="1019" w:type="dxa"/>
            <w:vMerge w:val="continue"/>
            <w:vAlign w:val="center"/>
          </w:tcPr>
          <w:p>
            <w:pPr>
              <w:jc w:val="center"/>
              <w:rPr>
                <w:rFonts w:ascii="宋体" w:hAnsi="宋体" w:cs="宋体"/>
                <w:color w:val="000000" w:themeColor="text1"/>
                <w:szCs w:val="21"/>
                <w:highlight w:val="none"/>
                <w14:textFill>
                  <w14:solidFill>
                    <w14:schemeClr w14:val="tx1"/>
                  </w14:solidFill>
                </w14:textFill>
              </w:rPr>
            </w:pPr>
          </w:p>
        </w:tc>
      </w:tr>
      <w:tr>
        <w:trPr>
          <w:cantSplit/>
          <w:trHeight w:val="75" w:hRule="atLeast"/>
          <w:jc w:val="center"/>
        </w:trPr>
        <w:tc>
          <w:tcPr>
            <w:tcW w:w="954" w:type="dxa"/>
            <w:vMerge w:val="continue"/>
            <w:vAlign w:val="center"/>
          </w:tcPr>
          <w:p>
            <w:pPr>
              <w:jc w:val="center"/>
              <w:rPr>
                <w:rFonts w:ascii="宋体" w:hAnsi="宋体" w:cs="宋体"/>
                <w:color w:val="000000" w:themeColor="text1"/>
                <w:szCs w:val="21"/>
                <w:highlight w:val="none"/>
                <w14:textFill>
                  <w14:solidFill>
                    <w14:schemeClr w14:val="tx1"/>
                  </w14:solidFill>
                </w14:textFill>
              </w:rPr>
            </w:pPr>
          </w:p>
        </w:tc>
        <w:tc>
          <w:tcPr>
            <w:tcW w:w="3563" w:type="dxa"/>
            <w:gridSpan w:val="2"/>
            <w:vMerge w:val="continue"/>
            <w:vAlign w:val="center"/>
          </w:tcPr>
          <w:p>
            <w:pPr>
              <w:jc w:val="center"/>
              <w:rPr>
                <w:rFonts w:ascii="宋体" w:hAnsi="宋体" w:cs="宋体"/>
                <w:color w:val="000000" w:themeColor="text1"/>
                <w:szCs w:val="21"/>
                <w:highlight w:val="none"/>
                <w14:textFill>
                  <w14:solidFill>
                    <w14:schemeClr w14:val="tx1"/>
                  </w14:solidFill>
                </w14:textFill>
              </w:rPr>
            </w:pP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w:t>
            </w:r>
            <w:r>
              <w:rPr>
                <w:rFonts w:hint="eastAsia" w:ascii="宋体" w:hAnsi="宋体" w:cs="宋体"/>
                <w:color w:val="000000" w:themeColor="text1"/>
                <w:szCs w:val="21"/>
                <w:highlight w:val="none"/>
                <w14:textFill>
                  <w14:solidFill>
                    <w14:schemeClr w14:val="tx1"/>
                  </w14:solidFill>
                </w14:textFill>
              </w:rPr>
              <w:t>8</w:t>
            </w:r>
          </w:p>
        </w:tc>
        <w:tc>
          <w:tcPr>
            <w:tcW w:w="1262" w:type="dxa"/>
            <w:vMerge w:val="continue"/>
            <w:vAlign w:val="center"/>
          </w:tcPr>
          <w:p>
            <w:pPr>
              <w:jc w:val="center"/>
              <w:rPr>
                <w:rFonts w:ascii="宋体" w:hAnsi="宋体" w:cs="宋体"/>
                <w:color w:val="000000" w:themeColor="text1"/>
                <w:szCs w:val="21"/>
                <w:highlight w:val="none"/>
                <w14:textFill>
                  <w14:solidFill>
                    <w14:schemeClr w14:val="tx1"/>
                  </w14:solidFill>
                </w14:textFill>
              </w:rPr>
            </w:pPr>
          </w:p>
        </w:tc>
        <w:tc>
          <w:tcPr>
            <w:tcW w:w="906" w:type="dxa"/>
            <w:vMerge w:val="continue"/>
            <w:vAlign w:val="center"/>
          </w:tcPr>
          <w:p>
            <w:pPr>
              <w:jc w:val="center"/>
              <w:rPr>
                <w:rFonts w:ascii="宋体" w:hAnsi="宋体" w:cs="宋体"/>
                <w:color w:val="000000" w:themeColor="text1"/>
                <w:szCs w:val="21"/>
                <w:highlight w:val="none"/>
                <w14:textFill>
                  <w14:solidFill>
                    <w14:schemeClr w14:val="tx1"/>
                  </w14:solidFill>
                </w14:textFill>
              </w:rPr>
            </w:pPr>
          </w:p>
        </w:tc>
        <w:tc>
          <w:tcPr>
            <w:tcW w:w="1019" w:type="dxa"/>
            <w:vMerge w:val="continue"/>
            <w:vAlign w:val="center"/>
          </w:tcPr>
          <w:p>
            <w:pPr>
              <w:jc w:val="center"/>
              <w:rPr>
                <w:rFonts w:ascii="宋体" w:hAnsi="宋体" w:cs="宋体"/>
                <w:color w:val="000000" w:themeColor="text1"/>
                <w:szCs w:val="21"/>
                <w:highlight w:val="none"/>
                <w14:textFill>
                  <w14:solidFill>
                    <w14:schemeClr w14:val="tx1"/>
                  </w14:solidFill>
                </w14:textFill>
              </w:rPr>
            </w:pPr>
          </w:p>
        </w:tc>
      </w:tr>
      <w:tr>
        <w:trPr>
          <w:cantSplit/>
          <w:trHeight w:val="75" w:hRule="atLeast"/>
          <w:jc w:val="center"/>
        </w:trPr>
        <w:tc>
          <w:tcPr>
            <w:tcW w:w="954" w:type="dxa"/>
            <w:vMerge w:val="continue"/>
            <w:vAlign w:val="center"/>
          </w:tcPr>
          <w:p>
            <w:pPr>
              <w:jc w:val="center"/>
              <w:rPr>
                <w:rFonts w:ascii="宋体" w:hAnsi="宋体" w:cs="宋体"/>
                <w:color w:val="000000" w:themeColor="text1"/>
                <w:szCs w:val="21"/>
                <w:highlight w:val="none"/>
                <w14:textFill>
                  <w14:solidFill>
                    <w14:schemeClr w14:val="tx1"/>
                  </w14:solidFill>
                </w14:textFill>
              </w:rPr>
            </w:pPr>
          </w:p>
        </w:tc>
        <w:tc>
          <w:tcPr>
            <w:tcW w:w="3563" w:type="dxa"/>
            <w:gridSpan w:val="2"/>
            <w:vMerge w:val="continue"/>
            <w:vAlign w:val="center"/>
          </w:tcPr>
          <w:p>
            <w:pPr>
              <w:jc w:val="center"/>
              <w:rPr>
                <w:rFonts w:ascii="宋体" w:hAnsi="宋体" w:cs="宋体"/>
                <w:color w:val="000000" w:themeColor="text1"/>
                <w:szCs w:val="21"/>
                <w:highlight w:val="none"/>
                <w14:textFill>
                  <w14:solidFill>
                    <w14:schemeClr w14:val="tx1"/>
                  </w14:solidFill>
                </w14:textFill>
              </w:rPr>
            </w:pP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w:t>
            </w:r>
            <w:r>
              <w:rPr>
                <w:rFonts w:hint="eastAsia" w:ascii="宋体" w:hAnsi="宋体" w:cs="宋体"/>
                <w:color w:val="000000" w:themeColor="text1"/>
                <w:szCs w:val="21"/>
                <w:highlight w:val="none"/>
                <w14:textFill>
                  <w14:solidFill>
                    <w14:schemeClr w14:val="tx1"/>
                  </w14:solidFill>
                </w14:textFill>
              </w:rPr>
              <w:t>9</w:t>
            </w:r>
          </w:p>
        </w:tc>
        <w:tc>
          <w:tcPr>
            <w:tcW w:w="1262" w:type="dxa"/>
            <w:vMerge w:val="continue"/>
            <w:vAlign w:val="center"/>
          </w:tcPr>
          <w:p>
            <w:pPr>
              <w:jc w:val="center"/>
              <w:rPr>
                <w:rFonts w:ascii="宋体" w:hAnsi="宋体" w:cs="宋体"/>
                <w:color w:val="000000" w:themeColor="text1"/>
                <w:szCs w:val="21"/>
                <w:highlight w:val="none"/>
                <w14:textFill>
                  <w14:solidFill>
                    <w14:schemeClr w14:val="tx1"/>
                  </w14:solidFill>
                </w14:textFill>
              </w:rPr>
            </w:pPr>
          </w:p>
        </w:tc>
        <w:tc>
          <w:tcPr>
            <w:tcW w:w="906" w:type="dxa"/>
            <w:vMerge w:val="continue"/>
            <w:vAlign w:val="center"/>
          </w:tcPr>
          <w:p>
            <w:pPr>
              <w:jc w:val="center"/>
              <w:rPr>
                <w:rFonts w:ascii="宋体" w:hAnsi="宋体" w:cs="宋体"/>
                <w:color w:val="000000" w:themeColor="text1"/>
                <w:szCs w:val="21"/>
                <w:highlight w:val="none"/>
                <w14:textFill>
                  <w14:solidFill>
                    <w14:schemeClr w14:val="tx1"/>
                  </w14:solidFill>
                </w14:textFill>
              </w:rPr>
            </w:pPr>
          </w:p>
        </w:tc>
        <w:tc>
          <w:tcPr>
            <w:tcW w:w="1019" w:type="dxa"/>
            <w:vMerge w:val="continue"/>
            <w:vAlign w:val="center"/>
          </w:tcPr>
          <w:p>
            <w:pPr>
              <w:jc w:val="center"/>
              <w:rPr>
                <w:rFonts w:ascii="宋体" w:hAnsi="宋体" w:cs="宋体"/>
                <w:color w:val="000000" w:themeColor="text1"/>
                <w:szCs w:val="21"/>
                <w:highlight w:val="none"/>
                <w14:textFill>
                  <w14:solidFill>
                    <w14:schemeClr w14:val="tx1"/>
                  </w14:solidFill>
                </w14:textFill>
              </w:rPr>
            </w:pPr>
          </w:p>
        </w:tc>
      </w:tr>
      <w:tr>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16</w:t>
            </w:r>
          </w:p>
        </w:tc>
        <w:tc>
          <w:tcPr>
            <w:tcW w:w="3563" w:type="dxa"/>
            <w:gridSpan w:val="2"/>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充气隔室的压力耐受试验和气体状态测量</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6.2.3</w:t>
            </w:r>
            <w:r>
              <w:rPr>
                <w:rFonts w:hint="eastAsia" w:ascii="宋体" w:hAnsi="宋体" w:cs="宋体"/>
                <w:color w:val="000000" w:themeColor="text1"/>
                <w:szCs w:val="21"/>
                <w:highlight w:val="none"/>
                <w14:textFill>
                  <w14:solidFill>
                    <w14:schemeClr w14:val="tx1"/>
                  </w14:solidFill>
                </w14:textFill>
              </w:rPr>
              <w:t>1</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7.15</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17</w:t>
            </w:r>
          </w:p>
        </w:tc>
        <w:tc>
          <w:tcPr>
            <w:tcW w:w="3563" w:type="dxa"/>
            <w:gridSpan w:val="2"/>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内部电弧试验</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6.1.1</w:t>
            </w:r>
            <w:r>
              <w:rPr>
                <w:rFonts w:hint="eastAsia" w:ascii="宋体" w:hAnsi="宋体" w:cs="宋体"/>
                <w:color w:val="000000" w:themeColor="text1"/>
                <w:szCs w:val="21"/>
                <w:highlight w:val="none"/>
                <w14:textFill>
                  <w14:solidFill>
                    <w14:schemeClr w14:val="tx1"/>
                  </w14:solidFill>
                </w14:textFill>
              </w:rPr>
              <w:t>3</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7.18</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18</w:t>
            </w:r>
          </w:p>
        </w:tc>
        <w:tc>
          <w:tcPr>
            <w:tcW w:w="3563" w:type="dxa"/>
            <w:gridSpan w:val="2"/>
            <w:vAlign w:val="center"/>
          </w:tcPr>
          <w:p>
            <w:pPr>
              <w:jc w:val="center"/>
              <w:rPr>
                <w:rFonts w:ascii="宋体" w:hAnsi="宋体" w:eastAsia="宋体" w:cs="宋体"/>
                <w:color w:val="000000" w:themeColor="text1"/>
                <w:szCs w:val="21"/>
                <w:highlight w:val="none"/>
                <w14:textFill>
                  <w14:solidFill>
                    <w14:schemeClr w14:val="tx1"/>
                  </w14:solidFill>
                </w14:textFill>
              </w:rPr>
            </w:pPr>
            <w:r>
              <w:rPr>
                <w:color w:val="000000" w:themeColor="text1"/>
                <w:highlight w:val="none"/>
                <w14:textFill>
                  <w14:solidFill>
                    <w14:schemeClr w14:val="tx1"/>
                  </w14:solidFill>
                </w14:textFill>
              </w:rPr>
              <w:t>对开关设备和控制设备中连接母线均采用</w:t>
            </w:r>
            <w:r>
              <w:rPr>
                <w:rFonts w:ascii="宋体" w:hAnsi="宋体" w:eastAsia="宋体" w:cs="宋体"/>
                <w:color w:val="000000" w:themeColor="text1"/>
                <w:szCs w:val="21"/>
                <w:highlight w:val="none"/>
                <w14:textFill>
                  <w14:solidFill>
                    <w14:schemeClr w14:val="tx1"/>
                  </w14:solidFill>
                </w14:textFill>
              </w:rPr>
              <w:t>固体绝缘包覆元件的金属封闭开关设备的性能验证试验</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w:t>
            </w:r>
            <w:r>
              <w:rPr>
                <w:rFonts w:hint="eastAsia" w:ascii="宋体" w:hAnsi="宋体" w:cs="宋体"/>
                <w:color w:val="000000" w:themeColor="text1"/>
                <w:szCs w:val="21"/>
                <w:highlight w:val="none"/>
                <w14:textFill>
                  <w14:solidFill>
                    <w14:schemeClr w14:val="tx1"/>
                  </w14:solidFill>
                </w14:textFill>
              </w:rPr>
              <w:t>3</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7.19</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p>
        </w:tc>
      </w:tr>
      <w:tr>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19</w:t>
            </w:r>
          </w:p>
        </w:tc>
        <w:tc>
          <w:tcPr>
            <w:tcW w:w="3563" w:type="dxa"/>
            <w:gridSpan w:val="2"/>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机械寿命试验</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w:t>
            </w:r>
            <w:r>
              <w:rPr>
                <w:rFonts w:hint="eastAsia" w:ascii="宋体" w:hAnsi="宋体" w:cs="宋体"/>
                <w:color w:val="000000" w:themeColor="text1"/>
                <w:szCs w:val="21"/>
                <w:highlight w:val="none"/>
                <w14:textFill>
                  <w14:solidFill>
                    <w14:schemeClr w14:val="tx1"/>
                  </w14:solidFill>
                </w14:textFill>
              </w:rPr>
              <w:t>30</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7.20</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20</w:t>
            </w:r>
          </w:p>
        </w:tc>
        <w:tc>
          <w:tcPr>
            <w:tcW w:w="3563" w:type="dxa"/>
            <w:gridSpan w:val="2"/>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振动试验</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6.2.2</w:t>
            </w:r>
            <w:r>
              <w:rPr>
                <w:rFonts w:hint="eastAsia" w:ascii="宋体" w:hAnsi="宋体" w:cs="宋体"/>
                <w:color w:val="000000" w:themeColor="text1"/>
                <w:szCs w:val="21"/>
                <w:highlight w:val="none"/>
                <w14:textFill>
                  <w14:solidFill>
                    <w14:schemeClr w14:val="tx1"/>
                  </w14:solidFill>
                </w14:textFill>
              </w:rPr>
              <w:t>7</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7.21</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21</w:t>
            </w:r>
          </w:p>
        </w:tc>
        <w:tc>
          <w:tcPr>
            <w:tcW w:w="3563" w:type="dxa"/>
            <w:gridSpan w:val="2"/>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低温试验</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6.2.2</w:t>
            </w:r>
            <w:r>
              <w:rPr>
                <w:rFonts w:hint="eastAsia" w:ascii="宋体" w:hAnsi="宋体" w:cs="宋体"/>
                <w:color w:val="000000" w:themeColor="text1"/>
                <w:szCs w:val="21"/>
                <w:highlight w:val="none"/>
                <w14:textFill>
                  <w14:solidFill>
                    <w14:schemeClr w14:val="tx1"/>
                  </w14:solidFill>
                </w14:textFill>
              </w:rPr>
              <w:t>6</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7.22.1</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22</w:t>
            </w:r>
          </w:p>
        </w:tc>
        <w:tc>
          <w:tcPr>
            <w:tcW w:w="3563" w:type="dxa"/>
            <w:gridSpan w:val="2"/>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温热试验</w:t>
            </w:r>
          </w:p>
        </w:tc>
        <w:tc>
          <w:tcPr>
            <w:tcW w:w="1078"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6.2.2</w:t>
            </w:r>
            <w:r>
              <w:rPr>
                <w:rFonts w:hint="eastAsia" w:ascii="宋体" w:hAnsi="宋体" w:cs="宋体"/>
                <w:color w:val="000000" w:themeColor="text1"/>
                <w:szCs w:val="21"/>
                <w:highlight w:val="none"/>
                <w14:textFill>
                  <w14:solidFill>
                    <w14:schemeClr w14:val="tx1"/>
                  </w14:solidFill>
                </w14:textFill>
              </w:rPr>
              <w:t>4</w:t>
            </w:r>
          </w:p>
        </w:tc>
        <w:tc>
          <w:tcPr>
            <w:tcW w:w="1262"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7.22.2</w:t>
            </w:r>
          </w:p>
        </w:tc>
        <w:tc>
          <w:tcPr>
            <w:tcW w:w="906" w:type="dxa"/>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bl>
    <w:p>
      <w:pPr>
        <w:pStyle w:val="35"/>
        <w:numPr>
          <w:ilvl w:val="0"/>
          <w:numId w:val="0"/>
        </w:numPr>
        <w:tabs>
          <w:tab w:val="clear" w:pos="360"/>
        </w:tabs>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表</w:t>
      </w:r>
      <w:r>
        <w:rPr>
          <w:rFonts w:hint="eastAsia"/>
          <w:color w:val="000000" w:themeColor="text1"/>
          <w:highlight w:val="none"/>
          <w14:textFill>
            <w14:solidFill>
              <w14:schemeClr w14:val="tx1"/>
            </w14:solidFill>
          </w14:textFill>
        </w:rPr>
        <w:t>4</w:t>
      </w:r>
      <w:r>
        <w:rPr>
          <w:color w:val="000000" w:themeColor="text1"/>
          <w:highlight w:val="none"/>
          <w14:textFill>
            <w14:solidFill>
              <w14:schemeClr w14:val="tx1"/>
            </w14:solidFill>
          </w14:textFill>
        </w:rPr>
        <w:t xml:space="preserve">  （续）</w:t>
      </w:r>
    </w:p>
    <w:tbl>
      <w:tblPr>
        <w:tblStyle w:val="13"/>
        <w:tblW w:w="878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54"/>
        <w:gridCol w:w="1781"/>
        <w:gridCol w:w="1782"/>
        <w:gridCol w:w="1078"/>
        <w:gridCol w:w="1262"/>
        <w:gridCol w:w="906"/>
        <w:gridCol w:w="1019"/>
      </w:tblGrid>
      <w:tr>
        <w:trPr>
          <w:trHeight w:val="545" w:hRule="atLeast"/>
          <w:jc w:val="center"/>
        </w:trPr>
        <w:tc>
          <w:tcPr>
            <w:tcW w:w="954" w:type="dxa"/>
            <w:tcBorders>
              <w:top w:val="single" w:color="auto" w:sz="8" w:space="0"/>
              <w:left w:val="single" w:color="auto" w:sz="8" w:space="0"/>
              <w:bottom w:val="single" w:color="auto" w:sz="8" w:space="0"/>
            </w:tcBorders>
            <w:vAlign w:val="center"/>
          </w:tcPr>
          <w:p>
            <w:pPr>
              <w:spacing w:line="240" w:lineRule="exact"/>
              <w:jc w:val="center"/>
              <w:rPr>
                <w:rFonts w:ascii="宋体" w:hAnsi="宋体"/>
                <w:color w:val="000000" w:themeColor="text1"/>
                <w:sz w:val="18"/>
                <w:highlight w:val="none"/>
                <w14:textFill>
                  <w14:solidFill>
                    <w14:schemeClr w14:val="tx1"/>
                  </w14:solidFill>
                </w14:textFill>
              </w:rPr>
            </w:pPr>
            <w:r>
              <w:rPr>
                <w:rFonts w:hint="eastAsia" w:ascii="宋体" w:hAnsi="宋体"/>
                <w:color w:val="000000" w:themeColor="text1"/>
                <w:sz w:val="18"/>
                <w:highlight w:val="none"/>
                <w14:textFill>
                  <w14:solidFill>
                    <w14:schemeClr w14:val="tx1"/>
                  </w14:solidFill>
                </w14:textFill>
              </w:rPr>
              <w:t>序号</w:t>
            </w:r>
          </w:p>
        </w:tc>
        <w:tc>
          <w:tcPr>
            <w:tcW w:w="3563" w:type="dxa"/>
            <w:gridSpan w:val="2"/>
            <w:tcBorders>
              <w:top w:val="single" w:color="auto" w:sz="8" w:space="0"/>
              <w:bottom w:val="single" w:color="auto" w:sz="8" w:space="0"/>
            </w:tcBorders>
            <w:vAlign w:val="center"/>
          </w:tcPr>
          <w:p>
            <w:pPr>
              <w:spacing w:line="240" w:lineRule="exact"/>
              <w:jc w:val="center"/>
              <w:rPr>
                <w:rFonts w:ascii="宋体" w:hAnsi="宋体"/>
                <w:color w:val="000000" w:themeColor="text1"/>
                <w:sz w:val="18"/>
                <w:highlight w:val="none"/>
                <w14:textFill>
                  <w14:solidFill>
                    <w14:schemeClr w14:val="tx1"/>
                  </w14:solidFill>
                </w14:textFill>
              </w:rPr>
            </w:pPr>
            <w:r>
              <w:rPr>
                <w:rFonts w:hint="eastAsia" w:ascii="宋体" w:hAnsi="宋体"/>
                <w:color w:val="000000" w:themeColor="text1"/>
                <w:sz w:val="18"/>
                <w:highlight w:val="none"/>
                <w14:textFill>
                  <w14:solidFill>
                    <w14:schemeClr w14:val="tx1"/>
                  </w14:solidFill>
                </w14:textFill>
              </w:rPr>
              <w:t>项目</w:t>
            </w:r>
          </w:p>
        </w:tc>
        <w:tc>
          <w:tcPr>
            <w:tcW w:w="1078" w:type="dxa"/>
            <w:tcBorders>
              <w:top w:val="single" w:color="auto" w:sz="8" w:space="0"/>
              <w:bottom w:val="single" w:color="auto" w:sz="8" w:space="0"/>
            </w:tcBorders>
            <w:vAlign w:val="center"/>
          </w:tcPr>
          <w:p>
            <w:pPr>
              <w:spacing w:line="240" w:lineRule="exact"/>
              <w:ind w:left="-42" w:leftChars="-20" w:right="-42" w:rightChars="-20"/>
              <w:jc w:val="center"/>
              <w:rPr>
                <w:rFonts w:ascii="宋体" w:hAnsi="宋体"/>
                <w:color w:val="000000" w:themeColor="text1"/>
                <w:sz w:val="18"/>
                <w:highlight w:val="none"/>
                <w14:textFill>
                  <w14:solidFill>
                    <w14:schemeClr w14:val="tx1"/>
                  </w14:solidFill>
                </w14:textFill>
              </w:rPr>
            </w:pPr>
            <w:r>
              <w:rPr>
                <w:rFonts w:hint="eastAsia" w:ascii="宋体" w:hAnsi="宋体"/>
                <w:color w:val="000000" w:themeColor="text1"/>
                <w:sz w:val="18"/>
                <w:highlight w:val="none"/>
                <w14:textFill>
                  <w14:solidFill>
                    <w14:schemeClr w14:val="tx1"/>
                  </w14:solidFill>
                </w14:textFill>
              </w:rPr>
              <w:t>技术要求</w:t>
            </w:r>
          </w:p>
        </w:tc>
        <w:tc>
          <w:tcPr>
            <w:tcW w:w="1262" w:type="dxa"/>
            <w:tcBorders>
              <w:top w:val="single" w:color="auto" w:sz="8" w:space="0"/>
              <w:bottom w:val="single" w:color="auto" w:sz="8" w:space="0"/>
            </w:tcBorders>
            <w:vAlign w:val="center"/>
          </w:tcPr>
          <w:p>
            <w:pPr>
              <w:spacing w:line="240" w:lineRule="exact"/>
              <w:ind w:right="-42" w:rightChars="-20"/>
              <w:jc w:val="center"/>
              <w:rPr>
                <w:rFonts w:ascii="宋体" w:hAnsi="宋体"/>
                <w:color w:val="000000" w:themeColor="text1"/>
                <w:sz w:val="18"/>
                <w:highlight w:val="none"/>
                <w14:textFill>
                  <w14:solidFill>
                    <w14:schemeClr w14:val="tx1"/>
                  </w14:solidFill>
                </w14:textFill>
              </w:rPr>
            </w:pPr>
            <w:r>
              <w:rPr>
                <w:rFonts w:hint="eastAsia" w:ascii="宋体" w:hAnsi="宋体"/>
                <w:color w:val="000000" w:themeColor="text1"/>
                <w:sz w:val="18"/>
                <w:highlight w:val="none"/>
                <w14:textFill>
                  <w14:solidFill>
                    <w14:schemeClr w14:val="tx1"/>
                  </w14:solidFill>
                </w14:textFill>
              </w:rPr>
              <w:t>试验方法</w:t>
            </w:r>
          </w:p>
        </w:tc>
        <w:tc>
          <w:tcPr>
            <w:tcW w:w="906" w:type="dxa"/>
            <w:tcBorders>
              <w:top w:val="single" w:color="auto" w:sz="8" w:space="0"/>
              <w:bottom w:val="single" w:color="auto" w:sz="8" w:space="0"/>
            </w:tcBorders>
            <w:vAlign w:val="center"/>
          </w:tcPr>
          <w:p>
            <w:pPr>
              <w:spacing w:line="240" w:lineRule="exact"/>
              <w:ind w:right="-42" w:rightChars="-20"/>
              <w:jc w:val="center"/>
              <w:rPr>
                <w:rFonts w:ascii="宋体" w:hAnsi="宋体"/>
                <w:color w:val="000000" w:themeColor="text1"/>
                <w:sz w:val="18"/>
                <w:highlight w:val="none"/>
                <w14:textFill>
                  <w14:solidFill>
                    <w14:schemeClr w14:val="tx1"/>
                  </w14:solidFill>
                </w14:textFill>
              </w:rPr>
            </w:pPr>
            <w:r>
              <w:rPr>
                <w:rFonts w:hint="eastAsia" w:ascii="宋体" w:hAnsi="宋体"/>
                <w:color w:val="000000" w:themeColor="text1"/>
                <w:sz w:val="18"/>
                <w:highlight w:val="none"/>
                <w14:textFill>
                  <w14:solidFill>
                    <w14:schemeClr w14:val="tx1"/>
                  </w14:solidFill>
                </w14:textFill>
              </w:rPr>
              <w:t>出厂检验</w:t>
            </w:r>
          </w:p>
        </w:tc>
        <w:tc>
          <w:tcPr>
            <w:tcW w:w="1019" w:type="dxa"/>
            <w:tcBorders>
              <w:top w:val="single" w:color="auto" w:sz="8" w:space="0"/>
              <w:bottom w:val="single" w:color="auto" w:sz="8" w:space="0"/>
              <w:right w:val="single" w:color="auto" w:sz="8" w:space="0"/>
            </w:tcBorders>
            <w:vAlign w:val="center"/>
          </w:tcPr>
          <w:p>
            <w:pPr>
              <w:spacing w:line="240" w:lineRule="exact"/>
              <w:ind w:right="-42" w:rightChars="-20"/>
              <w:jc w:val="center"/>
              <w:rPr>
                <w:rFonts w:ascii="宋体" w:hAnsi="宋体"/>
                <w:color w:val="000000" w:themeColor="text1"/>
                <w:sz w:val="18"/>
                <w:highlight w:val="none"/>
                <w14:textFill>
                  <w14:solidFill>
                    <w14:schemeClr w14:val="tx1"/>
                  </w14:solidFill>
                </w14:textFill>
              </w:rPr>
            </w:pPr>
            <w:r>
              <w:rPr>
                <w:rFonts w:hint="eastAsia" w:ascii="宋体" w:hAnsi="宋体"/>
                <w:color w:val="000000" w:themeColor="text1"/>
                <w:sz w:val="18"/>
                <w:highlight w:val="none"/>
                <w14:textFill>
                  <w14:solidFill>
                    <w14:schemeClr w14:val="tx1"/>
                  </w14:solidFill>
                </w14:textFill>
              </w:rPr>
              <w:t>型式试验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69" w:hRule="atLeast"/>
          <w:jc w:val="center"/>
        </w:trPr>
        <w:tc>
          <w:tcPr>
            <w:tcW w:w="954" w:type="dxa"/>
            <w:tcBorders>
              <w:top w:val="single" w:color="auto" w:sz="8" w:space="0"/>
              <w:left w:val="single" w:color="auto" w:sz="8" w:space="0"/>
              <w:bottom w:val="single" w:color="auto" w:sz="4"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23</w:t>
            </w:r>
          </w:p>
        </w:tc>
        <w:tc>
          <w:tcPr>
            <w:tcW w:w="3563" w:type="dxa"/>
            <w:gridSpan w:val="2"/>
            <w:tcBorders>
              <w:top w:val="single" w:color="auto" w:sz="8" w:space="0"/>
              <w:bottom w:val="single" w:color="auto" w:sz="4"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霉菌试验</w:t>
            </w:r>
          </w:p>
        </w:tc>
        <w:tc>
          <w:tcPr>
            <w:tcW w:w="1078" w:type="dxa"/>
            <w:tcBorders>
              <w:top w:val="single" w:color="auto" w:sz="8" w:space="0"/>
              <w:bottom w:val="single" w:color="auto" w:sz="4" w:space="0"/>
              <w:tl2br w:val="nil"/>
              <w:tr2bl w:val="nil"/>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6.2.2</w:t>
            </w:r>
            <w:r>
              <w:rPr>
                <w:rFonts w:hint="eastAsia" w:ascii="宋体" w:hAnsi="宋体" w:cs="宋体"/>
                <w:color w:val="000000" w:themeColor="text1"/>
                <w:szCs w:val="21"/>
                <w:highlight w:val="none"/>
                <w14:textFill>
                  <w14:solidFill>
                    <w14:schemeClr w14:val="tx1"/>
                  </w14:solidFill>
                </w14:textFill>
              </w:rPr>
              <w:t>5</w:t>
            </w:r>
          </w:p>
        </w:tc>
        <w:tc>
          <w:tcPr>
            <w:tcW w:w="1262" w:type="dxa"/>
            <w:tcBorders>
              <w:top w:val="single" w:color="auto" w:sz="8" w:space="0"/>
              <w:bottom w:val="single" w:color="auto" w:sz="4" w:space="0"/>
              <w:tl2br w:val="nil"/>
              <w:tr2bl w:val="nil"/>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7.22.3</w:t>
            </w:r>
          </w:p>
        </w:tc>
        <w:tc>
          <w:tcPr>
            <w:tcW w:w="906" w:type="dxa"/>
            <w:tcBorders>
              <w:top w:val="single" w:color="auto" w:sz="8" w:space="0"/>
              <w:bottom w:val="single" w:color="auto" w:sz="4" w:space="0"/>
              <w:tl2br w:val="nil"/>
              <w:tr2bl w:val="nil"/>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tcBorders>
              <w:top w:val="single" w:color="auto" w:sz="8" w:space="0"/>
              <w:bottom w:val="single" w:color="auto" w:sz="4" w:space="0"/>
              <w:right w:val="single" w:color="auto" w:sz="8"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tcBorders>
              <w:top w:val="single" w:color="auto" w:sz="8" w:space="0"/>
              <w:left w:val="single" w:color="auto" w:sz="8" w:space="0"/>
              <w:bottom w:val="single" w:color="auto" w:sz="4"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24</w:t>
            </w:r>
          </w:p>
        </w:tc>
        <w:tc>
          <w:tcPr>
            <w:tcW w:w="3563" w:type="dxa"/>
            <w:gridSpan w:val="2"/>
            <w:tcBorders>
              <w:top w:val="single" w:color="auto" w:sz="8" w:space="0"/>
              <w:bottom w:val="single" w:color="auto" w:sz="4" w:space="0"/>
              <w:tl2br w:val="nil"/>
              <w:tr2bl w:val="nil"/>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盐雾试验</w:t>
            </w:r>
          </w:p>
        </w:tc>
        <w:tc>
          <w:tcPr>
            <w:tcW w:w="1078" w:type="dxa"/>
            <w:tcBorders>
              <w:top w:val="single" w:color="auto" w:sz="8" w:space="0"/>
              <w:bottom w:val="single" w:color="auto" w:sz="4" w:space="0"/>
              <w:tl2br w:val="nil"/>
              <w:tr2bl w:val="nil"/>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6.2.</w:t>
            </w:r>
            <w:r>
              <w:rPr>
                <w:rFonts w:hint="eastAsia" w:ascii="宋体" w:hAnsi="宋体" w:cs="宋体"/>
                <w:color w:val="000000" w:themeColor="text1"/>
                <w:szCs w:val="21"/>
                <w:highlight w:val="none"/>
                <w14:textFill>
                  <w14:solidFill>
                    <w14:schemeClr w14:val="tx1"/>
                  </w14:solidFill>
                </w14:textFill>
              </w:rPr>
              <w:t>19</w:t>
            </w:r>
          </w:p>
        </w:tc>
        <w:tc>
          <w:tcPr>
            <w:tcW w:w="1262" w:type="dxa"/>
            <w:tcBorders>
              <w:top w:val="single" w:color="auto" w:sz="8" w:space="0"/>
              <w:bottom w:val="single" w:color="auto" w:sz="4" w:space="0"/>
              <w:tl2br w:val="nil"/>
              <w:tr2bl w:val="nil"/>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7.22.4</w:t>
            </w:r>
          </w:p>
        </w:tc>
        <w:tc>
          <w:tcPr>
            <w:tcW w:w="906" w:type="dxa"/>
            <w:tcBorders>
              <w:top w:val="single" w:color="auto" w:sz="8" w:space="0"/>
              <w:bottom w:val="single" w:color="auto" w:sz="4"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w:t>
            </w:r>
          </w:p>
        </w:tc>
        <w:tc>
          <w:tcPr>
            <w:tcW w:w="1019" w:type="dxa"/>
            <w:tcBorders>
              <w:top w:val="single" w:color="auto" w:sz="8" w:space="0"/>
              <w:bottom w:val="single" w:color="auto" w:sz="4" w:space="0"/>
              <w:right w:val="single" w:color="auto" w:sz="8"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tcBorders>
              <w:top w:val="single" w:color="auto" w:sz="4" w:space="0"/>
              <w:left w:val="single" w:color="auto" w:sz="8" w:space="0"/>
              <w:bottom w:val="single" w:color="auto" w:sz="4"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25</w:t>
            </w:r>
          </w:p>
        </w:tc>
        <w:tc>
          <w:tcPr>
            <w:tcW w:w="1781" w:type="dxa"/>
            <w:vMerge w:val="restart"/>
            <w:tcBorders>
              <w:top w:val="single" w:color="auto" w:sz="4" w:space="0"/>
              <w:bottom w:val="single" w:color="auto" w:sz="4"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功能试验</w:t>
            </w:r>
          </w:p>
        </w:tc>
        <w:tc>
          <w:tcPr>
            <w:tcW w:w="1782" w:type="dxa"/>
            <w:tcBorders>
              <w:top w:val="single" w:color="auto" w:sz="4" w:space="0"/>
              <w:bottom w:val="single" w:color="auto" w:sz="4" w:space="0"/>
              <w:tl2br w:val="nil"/>
              <w:tr2bl w:val="nil"/>
            </w:tcBorders>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气体泄漏报警</w:t>
            </w:r>
          </w:p>
        </w:tc>
        <w:tc>
          <w:tcPr>
            <w:tcW w:w="1078" w:type="dxa"/>
            <w:tcBorders>
              <w:top w:val="single" w:color="auto" w:sz="4" w:space="0"/>
              <w:bottom w:val="single" w:color="auto" w:sz="4" w:space="0"/>
              <w:tl2br w:val="nil"/>
              <w:tr2bl w:val="nil"/>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6.3.1</w:t>
            </w:r>
          </w:p>
        </w:tc>
        <w:tc>
          <w:tcPr>
            <w:tcW w:w="1262" w:type="dxa"/>
            <w:tcBorders>
              <w:top w:val="single" w:color="auto" w:sz="4" w:space="0"/>
              <w:bottom w:val="single" w:color="auto" w:sz="4" w:space="0"/>
              <w:tl2br w:val="nil"/>
              <w:tr2bl w:val="nil"/>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7.23.1</w:t>
            </w:r>
          </w:p>
        </w:tc>
        <w:tc>
          <w:tcPr>
            <w:tcW w:w="906" w:type="dxa"/>
            <w:tcBorders>
              <w:top w:val="single" w:color="auto" w:sz="4" w:space="0"/>
              <w:bottom w:val="single" w:color="auto" w:sz="4"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c>
          <w:tcPr>
            <w:tcW w:w="1019" w:type="dxa"/>
            <w:tcBorders>
              <w:top w:val="single" w:color="auto" w:sz="4" w:space="0"/>
              <w:bottom w:val="single" w:color="auto" w:sz="4" w:space="0"/>
              <w:right w:val="single" w:color="auto" w:sz="8"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tcBorders>
              <w:top w:val="single" w:color="auto" w:sz="4" w:space="0"/>
              <w:left w:val="single" w:color="auto" w:sz="8" w:space="0"/>
              <w:bottom w:val="single" w:color="auto" w:sz="4"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26</w:t>
            </w:r>
          </w:p>
        </w:tc>
        <w:tc>
          <w:tcPr>
            <w:tcW w:w="1781" w:type="dxa"/>
            <w:vMerge w:val="continue"/>
            <w:tcBorders>
              <w:top w:val="single" w:color="auto" w:sz="4" w:space="0"/>
              <w:bottom w:val="single" w:color="auto" w:sz="4"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p>
        </w:tc>
        <w:tc>
          <w:tcPr>
            <w:tcW w:w="1782" w:type="dxa"/>
            <w:tcBorders>
              <w:top w:val="single" w:color="auto" w:sz="4" w:space="0"/>
              <w:bottom w:val="single" w:color="auto" w:sz="4" w:space="0"/>
              <w:tl2br w:val="nil"/>
              <w:tr2bl w:val="nil"/>
            </w:tcBorders>
          </w:tcPr>
          <w:p>
            <w:pP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电缆插件温度信号</w:t>
            </w:r>
          </w:p>
        </w:tc>
        <w:tc>
          <w:tcPr>
            <w:tcW w:w="1078" w:type="dxa"/>
            <w:tcBorders>
              <w:top w:val="single" w:color="auto" w:sz="4" w:space="0"/>
              <w:bottom w:val="single" w:color="auto" w:sz="4" w:space="0"/>
              <w:tl2br w:val="nil"/>
              <w:tr2bl w:val="nil"/>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6.3.2</w:t>
            </w:r>
          </w:p>
        </w:tc>
        <w:tc>
          <w:tcPr>
            <w:tcW w:w="1262" w:type="dxa"/>
            <w:tcBorders>
              <w:top w:val="single" w:color="auto" w:sz="4" w:space="0"/>
              <w:bottom w:val="single" w:color="auto" w:sz="4" w:space="0"/>
              <w:tl2br w:val="nil"/>
              <w:tr2bl w:val="nil"/>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7.23.2</w:t>
            </w:r>
          </w:p>
        </w:tc>
        <w:tc>
          <w:tcPr>
            <w:tcW w:w="906" w:type="dxa"/>
            <w:tcBorders>
              <w:top w:val="single" w:color="auto" w:sz="4" w:space="0"/>
              <w:bottom w:val="single" w:color="auto" w:sz="4" w:space="0"/>
              <w:tl2br w:val="nil"/>
              <w:tr2bl w:val="nil"/>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tcBorders>
              <w:top w:val="single" w:color="auto" w:sz="4" w:space="0"/>
              <w:bottom w:val="single" w:color="auto" w:sz="4" w:space="0"/>
              <w:right w:val="single" w:color="auto" w:sz="8"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tcBorders>
              <w:top w:val="single" w:color="auto" w:sz="4" w:space="0"/>
              <w:left w:val="single" w:color="auto" w:sz="8" w:space="0"/>
              <w:bottom w:val="single" w:color="auto" w:sz="4"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27</w:t>
            </w:r>
          </w:p>
        </w:tc>
        <w:tc>
          <w:tcPr>
            <w:tcW w:w="1781" w:type="dxa"/>
            <w:vMerge w:val="continue"/>
            <w:tcBorders>
              <w:top w:val="single" w:color="auto" w:sz="4" w:space="0"/>
              <w:bottom w:val="single" w:color="auto" w:sz="4"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p>
        </w:tc>
        <w:tc>
          <w:tcPr>
            <w:tcW w:w="1782" w:type="dxa"/>
            <w:tcBorders>
              <w:top w:val="single" w:color="auto" w:sz="4" w:space="0"/>
              <w:bottom w:val="single" w:color="auto" w:sz="4" w:space="0"/>
              <w:tl2br w:val="nil"/>
              <w:tr2bl w:val="nil"/>
            </w:tcBorders>
          </w:tcPr>
          <w:p>
            <w:pP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电缆接插件局放信号</w:t>
            </w:r>
          </w:p>
        </w:tc>
        <w:tc>
          <w:tcPr>
            <w:tcW w:w="1078" w:type="dxa"/>
            <w:tcBorders>
              <w:top w:val="single" w:color="auto" w:sz="4" w:space="0"/>
              <w:bottom w:val="single" w:color="auto" w:sz="4" w:space="0"/>
              <w:tl2br w:val="nil"/>
              <w:tr2bl w:val="nil"/>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6.3.3</w:t>
            </w:r>
          </w:p>
        </w:tc>
        <w:tc>
          <w:tcPr>
            <w:tcW w:w="1262" w:type="dxa"/>
            <w:tcBorders>
              <w:top w:val="single" w:color="auto" w:sz="4" w:space="0"/>
              <w:bottom w:val="single" w:color="auto" w:sz="4" w:space="0"/>
              <w:tl2br w:val="nil"/>
              <w:tr2bl w:val="nil"/>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7.23.3</w:t>
            </w:r>
          </w:p>
        </w:tc>
        <w:tc>
          <w:tcPr>
            <w:tcW w:w="906" w:type="dxa"/>
            <w:tcBorders>
              <w:top w:val="single" w:color="auto" w:sz="4" w:space="0"/>
              <w:bottom w:val="single" w:color="auto" w:sz="4" w:space="0"/>
              <w:tl2br w:val="nil"/>
              <w:tr2bl w:val="nil"/>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tcBorders>
              <w:top w:val="single" w:color="auto" w:sz="4" w:space="0"/>
              <w:bottom w:val="single" w:color="auto" w:sz="4" w:space="0"/>
              <w:right w:val="single" w:color="auto" w:sz="8"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954" w:type="dxa"/>
            <w:tcBorders>
              <w:top w:val="single" w:color="auto" w:sz="4" w:space="0"/>
              <w:left w:val="single" w:color="auto" w:sz="8" w:space="0"/>
              <w:bottom w:val="single" w:color="auto" w:sz="8"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ascii="宋体" w:hAnsi="宋体" w:eastAsia="宋体" w:cs="宋体"/>
                <w:color w:val="000000" w:themeColor="text1"/>
                <w:szCs w:val="21"/>
                <w:highlight w:val="none"/>
                <w14:textFill>
                  <w14:solidFill>
                    <w14:schemeClr w14:val="tx1"/>
                  </w14:solidFill>
                </w14:textFill>
              </w:rPr>
              <w:t>28</w:t>
            </w:r>
          </w:p>
        </w:tc>
        <w:tc>
          <w:tcPr>
            <w:tcW w:w="1781" w:type="dxa"/>
            <w:vMerge w:val="continue"/>
            <w:tcBorders>
              <w:top w:val="single" w:color="auto" w:sz="4" w:space="0"/>
              <w:bottom w:val="single" w:color="auto" w:sz="8"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p>
        </w:tc>
        <w:tc>
          <w:tcPr>
            <w:tcW w:w="1782" w:type="dxa"/>
            <w:tcBorders>
              <w:top w:val="single" w:color="auto" w:sz="4" w:space="0"/>
              <w:bottom w:val="single" w:color="auto" w:sz="8" w:space="0"/>
              <w:tl2br w:val="nil"/>
              <w:tr2bl w:val="nil"/>
            </w:tcBorders>
          </w:tcPr>
          <w:p>
            <w:pP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电缆室弧光保护信号</w:t>
            </w:r>
          </w:p>
        </w:tc>
        <w:tc>
          <w:tcPr>
            <w:tcW w:w="1078" w:type="dxa"/>
            <w:tcBorders>
              <w:top w:val="single" w:color="auto" w:sz="4" w:space="0"/>
              <w:bottom w:val="single" w:color="auto" w:sz="8" w:space="0"/>
              <w:tl2br w:val="nil"/>
              <w:tr2bl w:val="nil"/>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6.3.4</w:t>
            </w:r>
          </w:p>
        </w:tc>
        <w:tc>
          <w:tcPr>
            <w:tcW w:w="1262" w:type="dxa"/>
            <w:tcBorders>
              <w:top w:val="single" w:color="auto" w:sz="4" w:space="0"/>
              <w:bottom w:val="single" w:color="auto" w:sz="8" w:space="0"/>
              <w:tl2br w:val="nil"/>
              <w:tr2bl w:val="nil"/>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7.23.4</w:t>
            </w:r>
          </w:p>
        </w:tc>
        <w:tc>
          <w:tcPr>
            <w:tcW w:w="906" w:type="dxa"/>
            <w:tcBorders>
              <w:top w:val="single" w:color="auto" w:sz="4" w:space="0"/>
              <w:bottom w:val="single" w:color="auto" w:sz="8" w:space="0"/>
              <w:tl2br w:val="nil"/>
              <w:tr2bl w:val="nil"/>
            </w:tcBorders>
            <w:vAlign w:val="center"/>
          </w:tcPr>
          <w:p>
            <w:pPr>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w:t>
            </w:r>
          </w:p>
        </w:tc>
        <w:tc>
          <w:tcPr>
            <w:tcW w:w="1019" w:type="dxa"/>
            <w:tcBorders>
              <w:top w:val="single" w:color="auto" w:sz="4" w:space="0"/>
              <w:bottom w:val="single" w:color="auto" w:sz="8" w:space="0"/>
              <w:right w:val="single" w:color="auto" w:sz="8" w:space="0"/>
              <w:tl2br w:val="nil"/>
              <w:tr2bl w:val="nil"/>
            </w:tcBorders>
            <w:vAlign w:val="center"/>
          </w:tcPr>
          <w:p>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p>
        </w:tc>
      </w:tr>
      <w:tr>
        <w:trPr>
          <w:cantSplit/>
          <w:trHeight w:val="269" w:hRule="atLeast"/>
          <w:jc w:val="center"/>
        </w:trPr>
        <w:tc>
          <w:tcPr>
            <w:tcW w:w="8782" w:type="dxa"/>
            <w:gridSpan w:val="7"/>
            <w:tcBorders>
              <w:top w:val="single" w:color="auto" w:sz="8" w:space="0"/>
              <w:left w:val="single" w:color="auto" w:sz="8" w:space="0"/>
              <w:bottom w:val="single" w:color="auto" w:sz="8" w:space="0"/>
              <w:right w:val="single" w:color="auto" w:sz="8" w:space="0"/>
              <w:tl2br w:val="nil"/>
              <w:tr2bl w:val="nil"/>
            </w:tcBorders>
            <w:vAlign w:val="center"/>
          </w:tcPr>
          <w:p>
            <w:pPr>
              <w:jc w:val="left"/>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注：“√”表示需要检验项目，“-”表示不需要检验项目</w:t>
            </w:r>
          </w:p>
        </w:tc>
      </w:tr>
    </w:tbl>
    <w:p>
      <w:pPr>
        <w:pStyle w:val="34"/>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合格判定</w:t>
      </w:r>
    </w:p>
    <w:p>
      <w:pPr>
        <w:pStyle w:val="33"/>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出厂检验判定</w:t>
      </w:r>
    </w:p>
    <w:p>
      <w:pPr>
        <w:pStyle w:val="26"/>
        <w:rPr>
          <w:rFonts w:hAnsi="宋体" w:eastAsia="宋体" w:cs="宋体"/>
          <w:color w:val="000000" w:themeColor="text1"/>
          <w:highlight w:val="none"/>
          <w14:textFill>
            <w14:solidFill>
              <w14:schemeClr w14:val="tx1"/>
            </w14:solidFill>
          </w14:textFill>
        </w:rPr>
      </w:pPr>
      <w:r>
        <w:rPr>
          <w:rFonts w:hint="eastAsia" w:hAnsi="宋体" w:eastAsia="宋体" w:cs="宋体"/>
          <w:color w:val="000000" w:themeColor="text1"/>
          <w:highlight w:val="none"/>
          <w14:textFill>
            <w14:solidFill>
              <w14:schemeClr w14:val="tx1"/>
            </w14:solidFill>
          </w14:textFill>
        </w:rPr>
        <w:t>产品出厂时，表</w:t>
      </w:r>
      <w:r>
        <w:rPr>
          <w:rFonts w:hAnsi="宋体" w:eastAsia="宋体" w:cs="宋体"/>
          <w:color w:val="000000" w:themeColor="text1"/>
          <w:highlight w:val="none"/>
          <w14:textFill>
            <w14:solidFill>
              <w14:schemeClr w14:val="tx1"/>
            </w14:solidFill>
          </w14:textFill>
        </w:rPr>
        <w:t>4</w:t>
      </w:r>
      <w:r>
        <w:rPr>
          <w:rFonts w:hint="eastAsia" w:hAnsi="宋体" w:eastAsia="宋体" w:cs="宋体"/>
          <w:color w:val="000000" w:themeColor="text1"/>
          <w:highlight w:val="none"/>
          <w14:textFill>
            <w14:solidFill>
              <w14:schemeClr w14:val="tx1"/>
            </w14:solidFill>
          </w14:textFill>
        </w:rPr>
        <w:t>出厂检测项目都合格时，即判定该产品合格。</w:t>
      </w:r>
    </w:p>
    <w:p>
      <w:pPr>
        <w:pStyle w:val="33"/>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型式试验判定</w:t>
      </w:r>
    </w:p>
    <w:p>
      <w:pPr>
        <w:pStyle w:val="26"/>
        <w:rPr>
          <w:rFonts w:hAnsi="宋体" w:eastAsia="宋体" w:cs="宋体"/>
          <w:color w:val="000000" w:themeColor="text1"/>
          <w:highlight w:val="none"/>
          <w14:textFill>
            <w14:solidFill>
              <w14:schemeClr w14:val="tx1"/>
            </w14:solidFill>
          </w14:textFill>
        </w:rPr>
      </w:pPr>
      <w:r>
        <w:rPr>
          <w:rFonts w:hint="eastAsia" w:hAnsi="宋体" w:eastAsia="宋体" w:cs="宋体"/>
          <w:color w:val="000000" w:themeColor="text1"/>
          <w:highlight w:val="none"/>
          <w14:textFill>
            <w14:solidFill>
              <w14:schemeClr w14:val="tx1"/>
            </w14:solidFill>
          </w14:textFill>
        </w:rPr>
        <w:t>型式试验项目全部符合标准规定，即判定该产品样机的型式试验合格。</w:t>
      </w:r>
    </w:p>
    <w:p>
      <w:pPr>
        <w:pStyle w:val="31"/>
        <w:spacing w:before="312" w:after="312"/>
        <w:outlineLvl w:val="0"/>
        <w:rPr>
          <w:color w:val="000000" w:themeColor="text1"/>
          <w:highlight w:val="none"/>
          <w14:textFill>
            <w14:solidFill>
              <w14:schemeClr w14:val="tx1"/>
            </w14:solidFill>
          </w14:textFill>
        </w:rPr>
      </w:pPr>
      <w:bookmarkStart w:id="149" w:name="_Toc1995103362"/>
      <w:bookmarkStart w:id="150" w:name="_Toc17768"/>
      <w:bookmarkStart w:id="151" w:name="_Toc2271"/>
      <w:bookmarkStart w:id="152" w:name="_Toc19323"/>
      <w:bookmarkStart w:id="153" w:name="_Toc12490"/>
      <w:bookmarkStart w:id="154" w:name="_Toc5040"/>
      <w:bookmarkStart w:id="155" w:name="_Toc25601"/>
      <w:bookmarkStart w:id="156" w:name="_Toc1251665990"/>
      <w:r>
        <w:rPr>
          <w:rFonts w:hint="eastAsia"/>
          <w:color w:val="000000" w:themeColor="text1"/>
          <w:highlight w:val="none"/>
          <w14:textFill>
            <w14:solidFill>
              <w14:schemeClr w14:val="tx1"/>
            </w14:solidFill>
          </w14:textFill>
        </w:rPr>
        <w:t>铭牌、包装、运输、贮存</w:t>
      </w:r>
      <w:bookmarkEnd w:id="149"/>
      <w:bookmarkEnd w:id="150"/>
      <w:bookmarkEnd w:id="151"/>
      <w:bookmarkEnd w:id="152"/>
      <w:bookmarkEnd w:id="153"/>
      <w:bookmarkEnd w:id="154"/>
      <w:bookmarkEnd w:id="155"/>
      <w:bookmarkEnd w:id="156"/>
    </w:p>
    <w:p>
      <w:pPr>
        <w:pStyle w:val="34"/>
        <w:spacing w:before="156" w:after="156"/>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铭牌</w:t>
      </w:r>
    </w:p>
    <w:p>
      <w:pPr>
        <w:pStyle w:val="33"/>
        <w:spacing w:before="156" w:after="156"/>
        <w:rPr>
          <w:color w:val="000000" w:themeColor="text1"/>
          <w:highlight w:val="none"/>
          <w14:textFill>
            <w14:solidFill>
              <w14:schemeClr w14:val="tx1"/>
            </w14:solidFill>
          </w14:textFill>
        </w:rPr>
      </w:pPr>
      <w:bookmarkStart w:id="157" w:name="_Toc1403"/>
      <w:bookmarkStart w:id="158" w:name="_Toc9270"/>
      <w:bookmarkStart w:id="159" w:name="_Toc16880"/>
      <w:bookmarkStart w:id="160" w:name="_Toc28413"/>
      <w:r>
        <w:rPr>
          <w:rFonts w:hint="eastAsia"/>
          <w:color w:val="000000" w:themeColor="text1"/>
          <w:highlight w:val="none"/>
          <w14:textFill>
            <w14:solidFill>
              <w14:schemeClr w14:val="tx1"/>
            </w14:solidFill>
          </w14:textFill>
        </w:rPr>
        <w:t>产品铭牌</w:t>
      </w:r>
    </w:p>
    <w:p>
      <w:pPr>
        <w:pStyle w:val="26"/>
        <w:rPr>
          <w:rFonts w:hAnsi="宋体" w:eastAsia="宋体" w:cs="宋体"/>
          <w:color w:val="000000" w:themeColor="text1"/>
          <w:highlight w:val="none"/>
          <w14:textFill>
            <w14:solidFill>
              <w14:schemeClr w14:val="tx1"/>
            </w14:solidFill>
          </w14:textFill>
        </w:rPr>
      </w:pPr>
      <w:r>
        <w:rPr>
          <w:rFonts w:hint="eastAsia" w:hAnsi="宋体" w:eastAsia="宋体" w:cs="宋体"/>
          <w:color w:val="000000" w:themeColor="text1"/>
          <w:highlight w:val="none"/>
          <w14:textFill>
            <w14:solidFill>
              <w14:schemeClr w14:val="tx1"/>
            </w14:solidFill>
          </w14:textFill>
        </w:rPr>
        <w:t>应符合GB/T 11022</w:t>
      </w:r>
      <w:r>
        <w:rPr>
          <w:rFonts w:hAnsi="宋体" w:eastAsia="宋体" w:cs="宋体"/>
          <w:color w:val="000000" w:themeColor="text1"/>
          <w:highlight w:val="none"/>
          <w14:textFill>
            <w14:solidFill>
              <w14:schemeClr w14:val="tx1"/>
            </w14:solidFill>
          </w14:textFill>
        </w:rPr>
        <w:t>—</w:t>
      </w:r>
      <w:r>
        <w:rPr>
          <w:rFonts w:hint="eastAsia" w:hAnsi="宋体" w:eastAsia="宋体" w:cs="宋体"/>
          <w:color w:val="000000" w:themeColor="text1"/>
          <w:highlight w:val="none"/>
          <w14:textFill>
            <w14:solidFill>
              <w14:schemeClr w14:val="tx1"/>
            </w14:solidFill>
          </w14:textFill>
        </w:rPr>
        <w:t>2020中6.11的规定，并作以下补充：铭牌应为哑光不锈钢、铜材、铝材或丙烯酸树脂等不受气候影响和防腐蚀的材料制成，应用中英文印制。</w:t>
      </w:r>
    </w:p>
    <w:p>
      <w:pPr>
        <w:pStyle w:val="33"/>
        <w:spacing w:before="156" w:after="156"/>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主元件铭牌</w:t>
      </w:r>
    </w:p>
    <w:p>
      <w:pPr>
        <w:pStyle w:val="26"/>
        <w:rPr>
          <w:rFonts w:hAnsi="宋体" w:eastAsia="宋体" w:cs="宋体"/>
          <w:color w:val="000000" w:themeColor="text1"/>
          <w:highlight w:val="none"/>
          <w14:textFill>
            <w14:solidFill>
              <w14:schemeClr w14:val="tx1"/>
            </w14:solidFill>
          </w14:textFill>
        </w:rPr>
      </w:pPr>
      <w:r>
        <w:rPr>
          <w:rFonts w:hAnsi="宋体" w:eastAsia="宋体" w:cs="宋体"/>
          <w:color w:val="000000" w:themeColor="text1"/>
          <w:highlight w:val="none"/>
          <w14:textFill>
            <w14:solidFill>
              <w14:schemeClr w14:val="tx1"/>
            </w14:solidFill>
          </w14:textFill>
        </w:rPr>
        <w:t>海上风电用高压开关柜</w:t>
      </w:r>
      <w:r>
        <w:rPr>
          <w:rFonts w:hint="eastAsia" w:hAnsi="宋体" w:eastAsia="宋体" w:cs="宋体"/>
          <w:color w:val="000000" w:themeColor="text1"/>
          <w:highlight w:val="none"/>
          <w14:textFill>
            <w14:solidFill>
              <w14:schemeClr w14:val="tx1"/>
            </w14:solidFill>
          </w14:textFill>
        </w:rPr>
        <w:t>制设备中所配的一次主元件的铭牌按照各自的产品标准规定。</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 xml:space="preserve">设备零件标识 </w:t>
      </w:r>
      <w:r>
        <w:rPr>
          <w:rFonts w:hint="eastAsia"/>
          <w:color w:val="000000" w:themeColor="text1"/>
          <w:highlight w:val="none"/>
          <w14:textFill>
            <w14:solidFill>
              <w14:schemeClr w14:val="tx1"/>
            </w14:solidFill>
          </w14:textFill>
        </w:rPr>
        <w:tab/>
      </w:r>
    </w:p>
    <w:p>
      <w:pPr>
        <w:pStyle w:val="26"/>
        <w:rPr>
          <w:rFonts w:hAnsi="宋体" w:eastAsia="宋体" w:cs="宋体"/>
          <w:color w:val="000000" w:themeColor="text1"/>
          <w:highlight w:val="none"/>
          <w14:textFill>
            <w14:solidFill>
              <w14:schemeClr w14:val="tx1"/>
            </w14:solidFill>
          </w14:textFill>
        </w:rPr>
      </w:pPr>
      <w:r>
        <w:rPr>
          <w:rFonts w:hint="eastAsia" w:hAnsi="宋体" w:eastAsia="宋体" w:cs="宋体"/>
          <w:color w:val="000000" w:themeColor="text1"/>
          <w:highlight w:val="none"/>
          <w14:textFill>
            <w14:solidFill>
              <w14:schemeClr w14:val="tx1"/>
            </w14:solidFill>
          </w14:textFill>
        </w:rPr>
        <w:t>设备零件及其附件上的指示牌、警告牌以及其它标记应采用中英文印刷且清晰易辨识。</w:t>
      </w:r>
    </w:p>
    <w:p>
      <w:pPr>
        <w:pStyle w:val="33"/>
        <w:spacing w:before="156" w:after="15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面板标识</w:t>
      </w:r>
    </w:p>
    <w:p>
      <w:pPr>
        <w:pStyle w:val="26"/>
        <w:rPr>
          <w:rFonts w:hAnsi="宋体" w:eastAsia="宋体" w:cs="宋体"/>
          <w:color w:val="000000" w:themeColor="text1"/>
          <w:highlight w:val="none"/>
          <w14:textFill>
            <w14:solidFill>
              <w14:schemeClr w14:val="tx1"/>
            </w14:solidFill>
          </w14:textFill>
        </w:rPr>
      </w:pPr>
      <w:r>
        <w:rPr>
          <w:rFonts w:hint="eastAsia" w:hAnsi="宋体" w:eastAsia="宋体" w:cs="宋体"/>
          <w:color w:val="000000" w:themeColor="text1"/>
          <w:highlight w:val="none"/>
          <w14:textFill>
            <w14:solidFill>
              <w14:schemeClr w14:val="tx1"/>
            </w14:solidFill>
          </w14:textFill>
        </w:rPr>
        <w:t>设备的面板上应粘贴环保标识，不锈钢铭牌、一次系统图、功能名称以及必须的操作说明</w:t>
      </w:r>
      <w:bookmarkEnd w:id="157"/>
      <w:bookmarkEnd w:id="158"/>
      <w:bookmarkEnd w:id="159"/>
      <w:bookmarkEnd w:id="160"/>
      <w:r>
        <w:rPr>
          <w:rFonts w:hAnsi="宋体" w:eastAsia="宋体" w:cs="宋体"/>
          <w:color w:val="000000" w:themeColor="text1"/>
          <w:highlight w:val="none"/>
          <w14:textFill>
            <w14:solidFill>
              <w14:schemeClr w14:val="tx1"/>
            </w14:solidFill>
          </w14:textFill>
        </w:rPr>
        <w:t>。</w:t>
      </w:r>
    </w:p>
    <w:p>
      <w:pPr>
        <w:pStyle w:val="34"/>
        <w:spacing w:before="156" w:after="156"/>
        <w:rPr>
          <w:color w:val="000000" w:themeColor="text1"/>
          <w:highlight w:val="none"/>
          <w14:textFill>
            <w14:solidFill>
              <w14:schemeClr w14:val="tx1"/>
            </w14:solidFill>
          </w14:textFill>
        </w:rPr>
      </w:pPr>
      <w:bookmarkStart w:id="161" w:name="_Toc14981"/>
      <w:bookmarkStart w:id="162" w:name="_Toc15821"/>
      <w:bookmarkStart w:id="163" w:name="_Toc3815"/>
      <w:bookmarkStart w:id="164" w:name="_Toc18771"/>
      <w:r>
        <w:rPr>
          <w:rFonts w:hint="eastAsia"/>
          <w:color w:val="000000" w:themeColor="text1"/>
          <w:highlight w:val="none"/>
          <w14:textFill>
            <w14:solidFill>
              <w14:schemeClr w14:val="tx1"/>
            </w14:solidFill>
          </w14:textFill>
        </w:rPr>
        <w:t>包装</w:t>
      </w:r>
      <w:bookmarkEnd w:id="161"/>
      <w:bookmarkEnd w:id="162"/>
      <w:bookmarkEnd w:id="163"/>
      <w:bookmarkEnd w:id="164"/>
    </w:p>
    <w:p>
      <w:pPr>
        <w:pStyle w:val="26"/>
        <w:rPr>
          <w:rFonts w:hAnsi="宋体" w:eastAsia="宋体"/>
          <w:color w:val="000000" w:themeColor="text1"/>
          <w:highlight w:val="none"/>
          <w14:textFill>
            <w14:solidFill>
              <w14:schemeClr w14:val="tx1"/>
            </w14:solidFill>
          </w14:textFill>
        </w:rPr>
      </w:pPr>
      <w:r>
        <w:rPr>
          <w:rFonts w:hAnsi="宋体" w:eastAsia="宋体"/>
          <w:color w:val="000000" w:themeColor="text1"/>
          <w:highlight w:val="none"/>
          <w14:textFill>
            <w14:solidFill>
              <w14:schemeClr w14:val="tx1"/>
            </w14:solidFill>
          </w14:textFill>
        </w:rPr>
        <w:t>GB/T 191—</w:t>
      </w:r>
      <w:r>
        <w:rPr>
          <w:rFonts w:hint="eastAsia" w:hAnsi="宋体" w:eastAsia="宋体"/>
          <w:color w:val="000000" w:themeColor="text1"/>
          <w:highlight w:val="none"/>
          <w14:textFill>
            <w14:solidFill>
              <w14:schemeClr w14:val="tx1"/>
            </w14:solidFill>
          </w14:textFill>
        </w:rPr>
        <w:t>2008的规定，外层木箱包装，里层用密封塑料袋隔离，袋内放置适当的干燥剂。</w:t>
      </w:r>
    </w:p>
    <w:p>
      <w:pPr>
        <w:pStyle w:val="26"/>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每台产品应随包装箱装有下列文件：</w:t>
      </w:r>
    </w:p>
    <w:p>
      <w:pPr>
        <w:pStyle w:val="32"/>
        <w:numPr>
          <w:ilvl w:val="0"/>
          <w:numId w:val="8"/>
        </w:numPr>
        <w:ind w:left="0" w:firstLine="420" w:firstLineChars="200"/>
        <w:jc w:val="both"/>
        <w:outlineLvl w:val="9"/>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装箱单；</w:t>
      </w:r>
    </w:p>
    <w:p>
      <w:pPr>
        <w:pStyle w:val="32"/>
        <w:numPr>
          <w:ilvl w:val="0"/>
          <w:numId w:val="8"/>
        </w:numPr>
        <w:ind w:left="0" w:firstLine="420" w:firstLineChars="200"/>
        <w:jc w:val="both"/>
        <w:outlineLvl w:val="9"/>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产品合格证；</w:t>
      </w:r>
    </w:p>
    <w:p>
      <w:pPr>
        <w:pStyle w:val="32"/>
        <w:numPr>
          <w:ilvl w:val="0"/>
          <w:numId w:val="8"/>
        </w:numPr>
        <w:ind w:left="0" w:firstLine="420" w:firstLineChars="200"/>
        <w:jc w:val="both"/>
        <w:outlineLvl w:val="9"/>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出厂试验报告；</w:t>
      </w:r>
    </w:p>
    <w:p>
      <w:pPr>
        <w:pStyle w:val="32"/>
        <w:numPr>
          <w:ilvl w:val="0"/>
          <w:numId w:val="8"/>
        </w:numPr>
        <w:ind w:left="0" w:firstLine="420" w:firstLineChars="200"/>
        <w:jc w:val="both"/>
        <w:outlineLvl w:val="9"/>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产品使用说明书；</w:t>
      </w:r>
    </w:p>
    <w:p>
      <w:pPr>
        <w:pStyle w:val="32"/>
        <w:numPr>
          <w:ilvl w:val="0"/>
          <w:numId w:val="8"/>
        </w:numPr>
        <w:ind w:left="0" w:firstLine="420" w:firstLineChars="200"/>
        <w:jc w:val="both"/>
        <w:outlineLvl w:val="9"/>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电气原理图和接线图；</w:t>
      </w:r>
    </w:p>
    <w:p>
      <w:pPr>
        <w:pStyle w:val="32"/>
        <w:numPr>
          <w:ilvl w:val="0"/>
          <w:numId w:val="8"/>
        </w:numPr>
        <w:ind w:left="0" w:firstLine="420" w:firstLineChars="200"/>
        <w:jc w:val="both"/>
        <w:outlineLvl w:val="9"/>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按合同提供备品备件、附件清单；</w:t>
      </w:r>
    </w:p>
    <w:p>
      <w:pPr>
        <w:pStyle w:val="32"/>
        <w:numPr>
          <w:ilvl w:val="0"/>
          <w:numId w:val="8"/>
        </w:numPr>
        <w:ind w:left="0" w:firstLine="420" w:firstLineChars="200"/>
        <w:jc w:val="both"/>
        <w:outlineLvl w:val="9"/>
        <w:rPr>
          <w:color w:val="000000" w:themeColor="text1"/>
          <w:highlight w:val="none"/>
          <w:lang w:bidi="en-US"/>
          <w14:textFill>
            <w14:solidFill>
              <w14:schemeClr w14:val="tx1"/>
            </w14:solidFill>
          </w14:textFill>
        </w:rPr>
      </w:pPr>
      <w:r>
        <w:rPr>
          <w:rFonts w:hint="eastAsia"/>
          <w:color w:val="000000" w:themeColor="text1"/>
          <w:highlight w:val="none"/>
          <w:lang w:bidi="en-US"/>
          <w14:textFill>
            <w14:solidFill>
              <w14:schemeClr w14:val="tx1"/>
            </w14:solidFill>
          </w14:textFill>
        </w:rPr>
        <w:t>微机保护装置等主要元器件的使用说明书，合格证</w:t>
      </w:r>
      <w:r>
        <w:rPr>
          <w:color w:val="000000" w:themeColor="text1"/>
          <w:highlight w:val="none"/>
          <w:lang w:bidi="en-US"/>
          <w14:textFill>
            <w14:solidFill>
              <w14:schemeClr w14:val="tx1"/>
            </w14:solidFill>
          </w14:textFill>
        </w:rPr>
        <w:t>。</w:t>
      </w:r>
    </w:p>
    <w:p>
      <w:pPr>
        <w:pStyle w:val="34"/>
        <w:spacing w:before="156" w:after="156" w:line="30" w:lineRule="atLeast"/>
        <w:rPr>
          <w:color w:val="000000" w:themeColor="text1"/>
          <w:highlight w:val="none"/>
          <w14:textFill>
            <w14:solidFill>
              <w14:schemeClr w14:val="tx1"/>
            </w14:solidFill>
          </w14:textFill>
        </w:rPr>
      </w:pPr>
      <w:bookmarkStart w:id="165" w:name="_Toc18716"/>
      <w:bookmarkStart w:id="166" w:name="_Toc25781"/>
      <w:bookmarkStart w:id="167" w:name="_Toc17239"/>
      <w:bookmarkStart w:id="168" w:name="_Toc7731"/>
      <w:r>
        <w:rPr>
          <w:rFonts w:hint="eastAsia"/>
          <w:color w:val="000000" w:themeColor="text1"/>
          <w:highlight w:val="none"/>
          <w14:textFill>
            <w14:solidFill>
              <w14:schemeClr w14:val="tx1"/>
            </w14:solidFill>
          </w14:textFill>
        </w:rPr>
        <w:t>运输</w:t>
      </w:r>
      <w:bookmarkEnd w:id="165"/>
      <w:bookmarkEnd w:id="166"/>
      <w:bookmarkEnd w:id="167"/>
      <w:bookmarkEnd w:id="168"/>
    </w:p>
    <w:p>
      <w:pPr>
        <w:pStyle w:val="26"/>
        <w:spacing w:line="30" w:lineRule="atLeast"/>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产品应按照包装箱上标示的方向垂直向上固定及搬运，不应倾斜，产品最大高度为3米以下，要注意道路限高，运输途中避免严重颠簸和涉水</w:t>
      </w:r>
      <w:r>
        <w:rPr>
          <w:rFonts w:hAnsi="宋体" w:eastAsia="宋体"/>
          <w:color w:val="000000" w:themeColor="text1"/>
          <w:highlight w:val="none"/>
          <w14:textFill>
            <w14:solidFill>
              <w14:schemeClr w14:val="tx1"/>
            </w14:solidFill>
          </w14:textFill>
        </w:rPr>
        <w:t>。</w:t>
      </w:r>
    </w:p>
    <w:p>
      <w:pPr>
        <w:pStyle w:val="34"/>
        <w:spacing w:before="156" w:after="156"/>
        <w:rPr>
          <w:color w:val="000000" w:themeColor="text1"/>
          <w:highlight w:val="none"/>
          <w14:textFill>
            <w14:solidFill>
              <w14:schemeClr w14:val="tx1"/>
            </w14:solidFill>
          </w14:textFill>
        </w:rPr>
      </w:pPr>
      <w:bookmarkStart w:id="169" w:name="_Toc7548"/>
      <w:bookmarkStart w:id="170" w:name="_Toc28751"/>
      <w:bookmarkStart w:id="171" w:name="_Toc19524"/>
      <w:bookmarkStart w:id="172" w:name="_Toc26511"/>
      <w:r>
        <w:rPr>
          <w:rFonts w:hint="eastAsia"/>
          <w:color w:val="000000" w:themeColor="text1"/>
          <w:highlight w:val="none"/>
          <w14:textFill>
            <w14:solidFill>
              <w14:schemeClr w14:val="tx1"/>
            </w14:solidFill>
          </w14:textFill>
        </w:rPr>
        <w:t>贮存</w:t>
      </w:r>
      <w:bookmarkEnd w:id="169"/>
      <w:bookmarkEnd w:id="170"/>
      <w:bookmarkEnd w:id="171"/>
      <w:bookmarkEnd w:id="172"/>
    </w:p>
    <w:p>
      <w:pPr>
        <w:pStyle w:val="26"/>
        <w:spacing w:line="30" w:lineRule="atLeast"/>
        <w:rPr>
          <w:rFonts w:hAnsi="宋体" w:eastAsia="宋体"/>
          <w:color w:val="000000" w:themeColor="text1"/>
          <w:highlight w:val="none"/>
          <w14:textFill>
            <w14:solidFill>
              <w14:schemeClr w14:val="tx1"/>
            </w14:solidFill>
          </w14:textFill>
        </w:rPr>
      </w:pPr>
      <w:r>
        <w:rPr>
          <w:rFonts w:hint="eastAsia" w:hAnsi="宋体" w:eastAsia="宋体"/>
          <w:color w:val="000000" w:themeColor="text1"/>
          <w:highlight w:val="none"/>
          <w14:textFill>
            <w14:solidFill>
              <w14:schemeClr w14:val="tx1"/>
            </w14:solidFill>
          </w14:textFill>
        </w:rPr>
        <w:t>产品应保存在通风干燥处，不应与酸碱物质、带有腐蚀性的化学品等混贮，贮存期间不应淋雨、暴晒、凝露和霜冻。包装完好的产品最长在户外贮存3个月，或户内贮存6个月。</w:t>
      </w:r>
    </w:p>
    <w:p>
      <w:pPr>
        <w:pStyle w:val="31"/>
        <w:spacing w:before="312" w:after="312"/>
        <w:outlineLvl w:val="0"/>
        <w:rPr>
          <w:color w:val="000000" w:themeColor="text1"/>
          <w:highlight w:val="none"/>
          <w14:textFill>
            <w14:solidFill>
              <w14:schemeClr w14:val="tx1"/>
            </w14:solidFill>
          </w14:textFill>
        </w:rPr>
      </w:pPr>
      <w:bookmarkStart w:id="173" w:name="_Toc17793"/>
      <w:bookmarkStart w:id="174" w:name="_Toc10466"/>
      <w:bookmarkStart w:id="175" w:name="_Toc27435"/>
      <w:bookmarkStart w:id="176" w:name="_Toc31758"/>
      <w:bookmarkStart w:id="177" w:name="_Toc13355"/>
      <w:bookmarkStart w:id="178" w:name="_Toc487918"/>
      <w:bookmarkStart w:id="179" w:name="_Toc892540876"/>
      <w:bookmarkStart w:id="180" w:name="_Toc23847"/>
      <w:r>
        <w:rPr>
          <w:rFonts w:hint="eastAsia"/>
          <w:color w:val="000000" w:themeColor="text1"/>
          <w:highlight w:val="none"/>
          <w14:textFill>
            <w14:solidFill>
              <w14:schemeClr w14:val="tx1"/>
            </w14:solidFill>
          </w14:textFill>
        </w:rPr>
        <w:t>质量承诺</w:t>
      </w:r>
      <w:bookmarkEnd w:id="173"/>
      <w:bookmarkEnd w:id="174"/>
      <w:bookmarkEnd w:id="175"/>
      <w:bookmarkEnd w:id="176"/>
      <w:bookmarkEnd w:id="177"/>
      <w:bookmarkEnd w:id="178"/>
      <w:bookmarkEnd w:id="179"/>
      <w:bookmarkEnd w:id="180"/>
    </w:p>
    <w:p>
      <w:pPr>
        <w:pStyle w:val="34"/>
        <w:spacing w:beforeLines="0" w:afterLines="0"/>
        <w:rPr>
          <w:rFonts w:ascii="宋体" w:hAnsi="Times New Roman" w:eastAsia="宋体"/>
          <w:color w:val="000000" w:themeColor="text1"/>
          <w:szCs w:val="22"/>
          <w:highlight w:val="none"/>
          <w14:textFill>
            <w14:solidFill>
              <w14:schemeClr w14:val="tx1"/>
            </w14:solidFill>
          </w14:textFill>
        </w:rPr>
      </w:pPr>
      <w:r>
        <w:rPr>
          <w:rFonts w:hint="eastAsia" w:ascii="宋体" w:hAnsi="Times New Roman" w:eastAsia="宋体"/>
          <w:color w:val="000000" w:themeColor="text1"/>
          <w:szCs w:val="22"/>
          <w:highlight w:val="none"/>
          <w14:textFill>
            <w14:solidFill>
              <w14:schemeClr w14:val="tx1"/>
            </w14:solidFill>
          </w14:textFill>
        </w:rPr>
        <w:t>在规定的运输、贮存和使用条件下，产品交付后2年内，若因产品本身质量问题造成产品损坏或者不能正常使用的，应提供免费维修、更换和培训服务。质量保证期外提供终身维修服务。</w:t>
      </w:r>
    </w:p>
    <w:p>
      <w:pPr>
        <w:pStyle w:val="34"/>
        <w:spacing w:beforeLines="0" w:afterLines="0"/>
        <w:rPr>
          <w:rFonts w:ascii="宋体" w:hAnsi="Times New Roman" w:eastAsia="宋体"/>
          <w:color w:val="000000" w:themeColor="text1"/>
          <w:szCs w:val="22"/>
          <w:highlight w:val="none"/>
          <w14:textFill>
            <w14:solidFill>
              <w14:schemeClr w14:val="tx1"/>
            </w14:solidFill>
          </w14:textFill>
        </w:rPr>
      </w:pPr>
      <w:r>
        <w:rPr>
          <w:rFonts w:hint="eastAsia" w:ascii="宋体" w:hAnsi="Times New Roman" w:eastAsia="宋体"/>
          <w:color w:val="000000" w:themeColor="text1"/>
          <w:szCs w:val="22"/>
          <w:highlight w:val="none"/>
          <w14:textFill>
            <w14:solidFill>
              <w14:schemeClr w14:val="tx1"/>
            </w14:solidFill>
          </w14:textFill>
        </w:rPr>
        <w:t>制造商应在24小时内响应客户需求。</w:t>
      </w:r>
    </w:p>
    <w:p>
      <w:pPr>
        <w:pStyle w:val="26"/>
        <w:rPr>
          <w:rFonts w:hAnsi="宋体" w:eastAsia="宋体"/>
          <w:color w:val="000000" w:themeColor="text1"/>
          <w:highlight w:val="none"/>
          <w14:textFill>
            <w14:solidFill>
              <w14:schemeClr w14:val="tx1"/>
            </w14:solidFill>
          </w14:textFill>
        </w:rPr>
      </w:pPr>
    </w:p>
    <w:p>
      <w:pPr>
        <w:pStyle w:val="34"/>
        <w:numPr>
          <w:ilvl w:val="0"/>
          <w:numId w:val="0"/>
        </w:numPr>
        <w:spacing w:beforeLines="0" w:afterLines="0"/>
        <w:rPr>
          <w:rFonts w:ascii="宋体" w:eastAsia="宋体"/>
          <w:color w:val="000000" w:themeColor="text1"/>
          <w:highlight w:val="none"/>
          <w:lang w:bidi="en-US"/>
          <w14:textFill>
            <w14:solidFill>
              <w14:schemeClr w14:val="tx1"/>
            </w14:solidFill>
          </w14:textFill>
        </w:rPr>
      </w:pPr>
    </w:p>
    <w:p>
      <w:pPr>
        <w:pStyle w:val="34"/>
        <w:numPr>
          <w:ilvl w:val="0"/>
          <w:numId w:val="0"/>
        </w:numPr>
        <w:spacing w:beforeLines="0" w:afterLines="0"/>
        <w:rPr>
          <w:rFonts w:ascii="宋体" w:eastAsia="宋体"/>
          <w:color w:val="000000" w:themeColor="text1"/>
          <w:highlight w:val="none"/>
          <w:lang w:bidi="en-US"/>
          <w14:textFill>
            <w14:solidFill>
              <w14:schemeClr w14:val="tx1"/>
            </w14:solidFill>
          </w14:textFill>
        </w:rPr>
      </w:pPr>
    </w:p>
    <w:p>
      <w:pPr>
        <w:pStyle w:val="34"/>
        <w:numPr>
          <w:ilvl w:val="0"/>
          <w:numId w:val="0"/>
        </w:numPr>
        <w:spacing w:beforeLines="0" w:afterLines="0"/>
        <w:ind w:firstLine="420"/>
        <w:rPr>
          <w:rFonts w:ascii="宋体" w:eastAsia="宋体"/>
          <w:color w:val="000000" w:themeColor="text1"/>
          <w:highlight w:val="none"/>
          <w:lang w:bidi="en-US"/>
          <w14:textFill>
            <w14:solidFill>
              <w14:schemeClr w14:val="tx1"/>
            </w14:solidFill>
          </w14:textFill>
        </w:rPr>
      </w:pPr>
      <w:r>
        <w:rPr>
          <w:rFonts w:ascii="宋体" w:eastAsia="宋体"/>
          <w:color w:val="000000" w:themeColor="text1"/>
          <w:highlight w:val="none"/>
          <w14:textFill>
            <w14:solidFill>
              <w14:schemeClr w14:val="tx1"/>
            </w14:solidFill>
          </w14:textFill>
        </w:rPr>
        <mc:AlternateContent>
          <mc:Choice Requires="wps">
            <w:drawing>
              <wp:anchor distT="0" distB="0" distL="114300" distR="114300" simplePos="0" relativeHeight="251662336" behindDoc="1" locked="0" layoutInCell="1" allowOverlap="1">
                <wp:simplePos x="0" y="0"/>
                <wp:positionH relativeFrom="page">
                  <wp:posOffset>2764155</wp:posOffset>
                </wp:positionH>
                <wp:positionV relativeFrom="paragraph">
                  <wp:posOffset>567055</wp:posOffset>
                </wp:positionV>
                <wp:extent cx="2199005" cy="0"/>
                <wp:effectExtent l="0" t="0" r="0" b="0"/>
                <wp:wrapTopAndBottom/>
                <wp:docPr id="13" name="直接连接符 13"/>
                <wp:cNvGraphicFramePr/>
                <a:graphic xmlns:a="http://schemas.openxmlformats.org/drawingml/2006/main">
                  <a:graphicData uri="http://schemas.microsoft.com/office/word/2010/wordprocessingShape">
                    <wps:wsp>
                      <wps:cNvCnPr>
                        <a:cxnSpLocks noChangeShapeType="1"/>
                      </wps:cNvCnPr>
                      <wps:spPr bwMode="auto">
                        <a:xfrm>
                          <a:off x="0" y="0"/>
                          <a:ext cx="2199005" cy="0"/>
                        </a:xfrm>
                        <a:prstGeom prst="line">
                          <a:avLst/>
                        </a:prstGeom>
                        <a:noFill/>
                        <a:ln w="5334">
                          <a:solidFill>
                            <a:srgbClr val="000000"/>
                          </a:solidFill>
                          <a:round/>
                        </a:ln>
                        <a:effectLst/>
                      </wps:spPr>
                      <wps:bodyPr/>
                    </wps:wsp>
                  </a:graphicData>
                </a:graphic>
              </wp:anchor>
            </w:drawing>
          </mc:Choice>
          <mc:Fallback>
            <w:pict>
              <v:line id="_x0000_s1026" o:spid="_x0000_s1026" o:spt="20" style="position:absolute;left:0pt;margin-left:217.65pt;margin-top:44.65pt;height:0pt;width:173.15pt;mso-position-horizontal-relative:page;mso-wrap-distance-bottom:0pt;mso-wrap-distance-top:0pt;z-index:-251654144;mso-width-relative:page;mso-height-relative:page;" filled="f" stroked="t" coordsize="21600,21600" o:gfxdata="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WAAAAZHJzL1BLAQIUABQAAAAIAIdO4kC8JDKu2AAA&#10;AAkBAAAPAAAAAAAAAAEAIAAAADgAAABkcnMvZG93bnJldi54bWxQSwECFAAUAAAACACHTuJAjzC/&#10;hs8BAABsAwAADgAAAAAAAAABACAAAAA9AQAAZHJzL2Uyb0RvYy54bWxQSwUGAAAAAAYABgBZAQAA&#10;fgUAAAAA&#10;">
                <v:fill on="f" focussize="0,0"/>
                <v:stroke weight="0.42pt" color="#000000" joinstyle="round"/>
                <v:imagedata o:title=""/>
                <o:lock v:ext="edit" aspectratio="f"/>
                <w10:wrap type="topAndBottom"/>
              </v:line>
            </w:pict>
          </mc:Fallback>
        </mc:AlternateContent>
      </w: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sectPr>
      <w:pgSz w:w="11906" w:h="16838"/>
      <w:pgMar w:top="567" w:right="1134" w:bottom="1134" w:left="1417" w:header="1418" w:footer="1134" w:gutter="0"/>
      <w:pgNumType w:start="1"/>
      <w:cols w:space="720" w:num="1"/>
      <w:formProt w:val="0"/>
      <w:docGrid w:type="lines"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DejaVu Sans">
    <w:altName w:val="苹方-简"/>
    <w:panose1 w:val="02020603050405020304"/>
    <w:charset w:val="00"/>
    <w:family w:val="roman"/>
    <w:pitch w:val="default"/>
    <w:sig w:usb0="20007A87" w:usb1="80000000" w:usb2="00000008" w:usb3="00000000" w:csb0="000001FF" w:csb1="00000000"/>
  </w:font>
  <w:font w:name="方正书宋_GBK">
    <w:panose1 w:val="02000000000000000000"/>
    <w:charset w:val="86"/>
    <w:family w:val="auto"/>
    <w:pitch w:val="default"/>
    <w:sig w:usb0="A00002BF" w:usb1="38CF7CFA" w:usb2="00082016" w:usb3="00000000" w:csb0="00040001" w:csb1="00000000"/>
  </w:font>
  <w:font w:name="方正黑体_GBK">
    <w:altName w:val="苹方-简"/>
    <w:panose1 w:val="02000000000000000000"/>
    <w:charset w:val="00"/>
    <w:family w:val="auto"/>
    <w:pitch w:val="default"/>
    <w:sig w:usb0="00000001" w:usb1="08000000" w:usb2="00000000" w:usb3="00000000" w:csb0="00040000" w:csb1="00000000"/>
  </w:font>
  <w:font w:name="Cambria">
    <w:altName w:val="苹方-简"/>
    <w:panose1 w:val="02040503050406030204"/>
    <w:charset w:val="00"/>
    <w:family w:val="roman"/>
    <w:pitch w:val="default"/>
    <w:sig w:usb0="00000000" w:usb1="00000000" w:usb2="00000000" w:usb3="00000000" w:csb0="0000019F" w:csb1="00000000"/>
  </w:font>
  <w:font w:name="Calibri">
    <w:altName w:val="Verdana"/>
    <w:panose1 w:val="020F0502020204030204"/>
    <w:charset w:val="00"/>
    <w:family w:val="swiss"/>
    <w:pitch w:val="default"/>
    <w:sig w:usb0="00000000" w:usb1="00000000" w:usb2="00000001" w:usb3="00000000" w:csb0="0000019F" w:csb1="00000000"/>
  </w:font>
  <w:font w:name="汉仪书宋二KW">
    <w:panose1 w:val="00020600040101010101"/>
    <w:charset w:val="86"/>
    <w:family w:val="auto"/>
    <w:pitch w:val="default"/>
    <w:sig w:usb0="A00002BF" w:usb1="18EF7CFA" w:usb2="00000016" w:usb3="00000000" w:csb0="00040000" w:csb1="00000000"/>
  </w:font>
  <w:font w:name="苹方-简">
    <w:panose1 w:val="020B0400000000000000"/>
    <w:charset w:val="86"/>
    <w:family w:val="auto"/>
    <w:pitch w:val="default"/>
    <w:sig w:usb0="A00002FF" w:usb1="7ACFFDFB" w:usb2="00000017" w:usb3="00000000" w:csb0="00040001" w:csb1="00000000"/>
  </w:font>
  <w:font w:name="Verdana">
    <w:panose1 w:val="020B0604030504040204"/>
    <w:charset w:val="00"/>
    <w:family w:val="auto"/>
    <w:pitch w:val="default"/>
    <w:sig w:usb0="A10006FF" w:usb1="4000205B" w:usb2="00000010" w:usb3="00000000" w:csb0="2000019F" w:csb1="00000000"/>
  </w:font>
  <w:font w:name="黑体">
    <w:altName w:val="汉仪中黑KW"/>
    <w:panose1 w:val="02010609060101010101"/>
    <w:charset w:val="00"/>
    <w:family w:val="auto"/>
    <w:pitch w:val="default"/>
    <w:sig w:usb0="00000000" w:usb1="00000000" w:usb2="00000016" w:usb3="00000000" w:csb0="00040001" w:csb1="00000000"/>
  </w:font>
  <w:font w:name="Symbol">
    <w:altName w:val="Kingsoft Sign"/>
    <w:panose1 w:val="05050102010706020507"/>
    <w:charset w:val="00"/>
    <w:family w:val="roman"/>
    <w:pitch w:val="default"/>
    <w:sig w:usb0="00000000" w:usb1="00000000" w:usb2="00000000" w:usb3="00000000" w:csb0="80000000" w:csb1="00000000"/>
  </w:font>
  <w:font w:name="Noto Sans CJK JP Regular">
    <w:altName w:val="苹方-简"/>
    <w:panose1 w:val="00000000000000000000"/>
    <w:charset w:val="00"/>
    <w:family w:val="swiss"/>
    <w:pitch w:val="default"/>
    <w:sig w:usb0="00000000" w:usb1="00000000" w:usb2="00000000" w:usb3="00000000" w:csb0="00040001" w:csb1="00000000"/>
  </w:font>
  <w:font w:name="Arial">
    <w:panose1 w:val="020B0604020202090204"/>
    <w:charset w:val="00"/>
    <w:family w:val="swiss"/>
    <w:pitch w:val="default"/>
    <w:sig w:usb0="E0000AFF" w:usb1="00007843" w:usb2="00000001" w:usb3="00000000" w:csb0="400001BF" w:csb1="DFF70000"/>
  </w:font>
  <w:font w:name="Courier New">
    <w:panose1 w:val="02070309020205020404"/>
    <w:charset w:val="00"/>
    <w:family w:val="modern"/>
    <w:pitch w:val="default"/>
    <w:sig w:usb0="E0002AFF" w:usb1="C0007843" w:usb2="00000009" w:usb3="00000000" w:csb0="400001FF" w:csb1="FFFF0000"/>
  </w:font>
  <w:font w:name="MS Mincho">
    <w:altName w:val="Hiragino Sans"/>
    <w:panose1 w:val="02020609040205080304"/>
    <w:charset w:val="00"/>
    <w:family w:val="modern"/>
    <w:pitch w:val="default"/>
    <w:sig w:usb0="00000000" w:usb1="00000000" w:usb2="00000012" w:usb3="00000000" w:csb0="4002009F" w:csb1="DFD70000"/>
  </w:font>
  <w:font w:name="Wingdings 2">
    <w:panose1 w:val="05020102010507070707"/>
    <w:charset w:val="00"/>
    <w:family w:val="roman"/>
    <w:pitch w:val="default"/>
    <w:sig w:usb0="00000000" w:usb1="00000000" w:usb2="00000000" w:usb3="00000000" w:csb0="80000000" w:csb1="00000000"/>
  </w:font>
  <w:font w:name="汉仪中黑KW">
    <w:panose1 w:val="00020600040101010101"/>
    <w:charset w:val="86"/>
    <w:family w:val="auto"/>
    <w:pitch w:val="default"/>
    <w:sig w:usb0="A00002BF" w:usb1="18EF7CFA" w:usb2="00000016" w:usb3="00000000" w:csb0="00040000" w:csb1="00000000"/>
  </w:font>
  <w:font w:name="Hiragino Sans">
    <w:panose1 w:val="020B0300000000000000"/>
    <w:charset w:val="80"/>
    <w:family w:val="auto"/>
    <w:pitch w:val="default"/>
    <w:sig w:usb0="E00002FF" w:usb1="7AE7FFFF" w:usb2="00000012" w:usb3="00000000" w:csb0="0002000D" w:csb1="00000000"/>
  </w:font>
  <w:font w:name="宋体-简">
    <w:panose1 w:val="02010800040101010101"/>
    <w:charset w:val="86"/>
    <w:family w:val="auto"/>
    <w:pitch w:val="default"/>
    <w:sig w:usb0="00000001" w:usb1="080F0000" w:usb2="00000000" w:usb3="00000000" w:csb0="00040000" w:csb1="00000000"/>
  </w:font>
  <w:font w:name="PingFangHK">
    <w:altName w:val="苹方-简"/>
    <w:panose1 w:val="00000000000000000000"/>
    <w:charset w:val="00"/>
    <w:family w:val="auto"/>
    <w:pitch w:val="default"/>
    <w:sig w:usb0="00000000" w:usb1="00000000" w:usb2="00000000" w:usb3="00000000" w:csb0="00000000" w:csb1="00000000"/>
  </w:font>
  <w:font w:name="Tahoma">
    <w:panose1 w:val="020B0804030504040204"/>
    <w:charset w:val="00"/>
    <w:family w:val="auto"/>
    <w:pitch w:val="default"/>
    <w:sig w:usb0="E1002AFF" w:usb1="C000605B" w:usb2="00000029" w:usb3="00000000" w:csb0="200101FF" w:csb1="20280000"/>
  </w:font>
  <w:font w:name="儷宋 Pro">
    <w:panose1 w:val="02020300000000000000"/>
    <w:charset w:val="88"/>
    <w:family w:val="auto"/>
    <w:pitch w:val="default"/>
    <w:sig w:usb0="80000001" w:usb1="28091800" w:usb2="00000016" w:usb3="00000000" w:csb0="00100000" w:csb1="00000000"/>
  </w:font>
  <w:font w:name="Wingdings">
    <w:panose1 w:val="05000000000000000000"/>
    <w:charset w:val="00"/>
    <w:family w:val="auto"/>
    <w:pitch w:val="default"/>
    <w:sig w:usb0="00000000" w:usb1="00000000" w:usb2="00000000" w:usb3="00000000" w:csb0="80000000" w:csb1="00000000"/>
  </w:font>
  <w:font w:name="冬青黑体简体中文">
    <w:panose1 w:val="020B0600000000000000"/>
    <w:charset w:val="86"/>
    <w:family w:val="auto"/>
    <w:pitch w:val="default"/>
    <w:sig w:usb0="A00002BF" w:usb1="1ACF7CFA" w:usb2="00000016" w:usb3="00000000" w:csb0="00060007" w:csb1="00000000"/>
  </w:font>
  <w:font w:name="隶变-繁">
    <w:panose1 w:val="02010600040101010101"/>
    <w:charset w:val="86"/>
    <w:family w:val="auto"/>
    <w:pitch w:val="default"/>
    <w:sig w:usb0="80000287" w:usb1="280F3C52" w:usb2="00000016" w:usb3="00000000" w:csb0="0004001F" w:csb1="00000000"/>
  </w:font>
  <w:font w:name="凌慧体-简">
    <w:panose1 w:val="03050602040302020204"/>
    <w:charset w:val="86"/>
    <w:family w:val="auto"/>
    <w:pitch w:val="default"/>
    <w:sig w:usb0="A00002FF" w:usb1="7ACF7CFB" w:usb2="0000001E" w:usb3="00000000" w:csb0="00040001" w:csb1="00000000"/>
  </w:font>
  <w:font w:name="黑体-简">
    <w:panose1 w:val="02000000000000000000"/>
    <w:charset w:val="86"/>
    <w:family w:val="auto"/>
    <w:pitch w:val="default"/>
    <w:sig w:usb0="8000002F" w:usb1="0800004A" w:usb2="00000000" w:usb3="00000000" w:csb0="203E0000" w:csb1="00000000"/>
  </w:font>
  <w:font w:name="Kingsoft Sign">
    <w:panose1 w:val="05050102010706020507"/>
    <w:charset w:val="00"/>
    <w:family w:val="auto"/>
    <w:pitch w:val="default"/>
    <w:sig w:usb0="00000000" w:usb1="10000000" w:usb2="00000000" w:usb3="00000000" w:csb0="00000001" w:csb1="00000000"/>
  </w:font>
  <w:font w:name="黑体">
    <w:altName w:val="汉仪中黑KW"/>
    <w:panose1 w:val="02010609060101010101"/>
    <w:charset w:val="86"/>
    <w:family w:val="modern"/>
    <w:pitch w:val="default"/>
    <w:sig w:usb0="00000000" w:usb1="00000000" w:usb2="00000016" w:usb3="00000000" w:csb0="00040001" w:csb1="00000000"/>
  </w:font>
  <w:font w:name="MS Mincho">
    <w:altName w:val="Hiragino Sans"/>
    <w:panose1 w:val="02020609040205080304"/>
    <w:charset w:val="80"/>
    <w:family w:val="modern"/>
    <w:pitch w:val="default"/>
    <w:sig w:usb0="00000000" w:usb1="00000000" w:usb2="00000012" w:usb3="00000000" w:csb0="0002009F" w:csb1="00000000"/>
  </w:font>
  <w:font w:name="Times New Roman Regular">
    <w:panose1 w:val="02020503050405090304"/>
    <w:charset w:val="00"/>
    <w:family w:val="auto"/>
    <w:pitch w:val="default"/>
    <w:sig w:usb0="E0000AFF" w:usb1="00007843" w:usb2="00000001" w:usb3="00000000" w:csb0="400001BF" w:csb1="DFF70000"/>
  </w:font>
  <w:font w:name="等线">
    <w:altName w:val="汉仪中等线KW"/>
    <w:panose1 w:val="00000000000000000000"/>
    <w:charset w:val="86"/>
    <w:family w:val="auto"/>
    <w:pitch w:val="default"/>
    <w:sig w:usb0="00000000" w:usb1="00000000" w:usb2="00000016" w:usb3="00000000" w:csb0="0004000F" w:csb1="00000000"/>
  </w:font>
  <w:font w:name="Calibri Light">
    <w:altName w:val="Verdana"/>
    <w:panose1 w:val="00000000000000000000"/>
    <w:charset w:val="00"/>
    <w:family w:val="swiss"/>
    <w:pitch w:val="default"/>
    <w:sig w:usb0="00000000" w:usb1="00000000" w:usb2="00000000" w:usb3="00000000" w:csb0="0000019F" w:csb1="00000000"/>
  </w:font>
  <w:font w:name="汉仪中等线KW">
    <w:panose1 w:val="01010104010101010101"/>
    <w:charset w:val="86"/>
    <w:family w:val="auto"/>
    <w:pitch w:val="default"/>
    <w:sig w:usb0="800002BF" w:usb1="004F7CFA"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ind w:firstLine="9090" w:firstLineChars="5050"/>
    </w:pPr>
    <w:r>
      <mc:AlternateContent>
        <mc:Choice Requires="wps">
          <w:drawing>
            <wp:anchor distT="0" distB="0" distL="114300" distR="114300" simplePos="0" relativeHeight="251659264" behindDoc="0" locked="0" layoutInCell="1" allowOverlap="1">
              <wp:simplePos x="0" y="0"/>
              <wp:positionH relativeFrom="margin">
                <wp:align>left</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pStyle w:val="40"/>
                          </w:pP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left;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BYAAABkcnMv&#10;UEsBAhQAFAAAAAgAh07iQM6pebnPAAAABQEAAA8AAAAAAAAAAQAgAAAAOAAAAGRycy9kb3ducmV2&#10;LnhtbFBLAQIUABQAAAAIAIdO4kBo5UoRtgEAAFYDAAAOAAAAAAAAAAEAIAAAADQBAABkcnMvZTJv&#10;RG9jLnhtbFBLBQYAAAAABgAGAFkBAABcBQAAAAA=&#10;">
              <v:fill on="f" focussize="0,0"/>
              <v:stroke on="f"/>
              <v:imagedata o:title=""/>
              <o:lock v:ext="edit" aspectratio="f"/>
              <v:textbox inset="0mm,0mm,0mm,0mm" style="mso-fit-shape-to-text:t;">
                <w:txbxContent>
                  <w:p>
                    <w:pPr>
                      <w:pStyle w:val="40"/>
                    </w:pPr>
                  </w:p>
                </w:txbxContent>
              </v:textbox>
            </v:shape>
          </w:pict>
        </mc:Fallback>
      </mc:AlternateContent>
    </w:r>
    <w:r>
      <w:fldChar w:fldCharType="begin"/>
    </w:r>
    <w:r>
      <w:instrText xml:space="preserve"> PAGE  \* MERGEFORMAT </w:instrText>
    </w:r>
    <w:r>
      <w:fldChar w:fldCharType="separate"/>
    </w:r>
    <w:r>
      <w:t>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mc:AlternateContent>
        <mc:Choice Requires="wps">
          <w:drawing>
            <wp:anchor distT="0" distB="0" distL="114300" distR="114300" simplePos="0" relativeHeight="251658240" behindDoc="0" locked="0" layoutInCell="1" allowOverlap="1">
              <wp:simplePos x="0" y="0"/>
              <wp:positionH relativeFrom="margin">
                <wp:align>left</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pStyle w:val="41"/>
                          </w:pPr>
                          <w:r>
                            <w:fldChar w:fldCharType="begin"/>
                          </w:r>
                          <w:r>
                            <w:instrText xml:space="preserve"> PAGE  \* MERGEFORMAT </w:instrText>
                          </w:r>
                          <w:r>
                            <w:fldChar w:fldCharType="separate"/>
                          </w:r>
                          <w:r>
                            <w:t>9</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left;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FgAAAGRycy9Q&#10;SwECFAAUAAAACACHTuJAzql5uc8AAAAFAQAADwAAAAAAAAABACAAAAA4AAAAZHJzL2Rvd25yZXYu&#10;eG1sUEsBAhQAFAAAAAgAh07iQKMRL/q1AQAAVgMAAA4AAAAAAAAAAQAgAAAANAEAAGRycy9lMm9E&#10;b2MueG1sUEsFBgAAAAAGAAYAWQEAAFsFAAAAAA==&#10;">
              <v:fill on="f" focussize="0,0"/>
              <v:stroke on="f"/>
              <v:imagedata o:title=""/>
              <o:lock v:ext="edit" aspectratio="f"/>
              <v:textbox inset="0mm,0mm,0mm,0mm" style="mso-fit-shape-to-text:t;">
                <w:txbxContent>
                  <w:p>
                    <w:pPr>
                      <w:pStyle w:val="41"/>
                    </w:pPr>
                    <w:r>
                      <w:fldChar w:fldCharType="begin"/>
                    </w:r>
                    <w:r>
                      <w:instrText xml:space="preserve"> PAGE  \* MERGEFORMAT </w:instrText>
                    </w:r>
                    <w:r>
                      <w:fldChar w:fldCharType="separate"/>
                    </w:r>
                    <w:r>
                      <w:t>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ind w:firstLine="7350" w:firstLineChars="3500"/>
    </w:pPr>
    <w:r>
      <w:rPr>
        <w:rFonts w:hint="eastAsia"/>
      </w:rPr>
      <w:t>T</w:t>
    </w:r>
    <w:r>
      <w:t>/</w:t>
    </w:r>
    <w:r>
      <w:rPr>
        <w:rFonts w:hint="eastAsia"/>
      </w:rPr>
      <w:t>ZZB</w:t>
    </w:r>
    <w:r>
      <w:t xml:space="preserve"> </w:t>
    </w:r>
    <w:r>
      <w:rPr>
        <w:rFonts w:hint="eastAsia"/>
      </w:rPr>
      <w:t>XXXX</w:t>
    </w:r>
    <w:r>
      <w:t>—</w:t>
    </w:r>
    <w:r>
      <w:rPr>
        <w:rFonts w:hint="eastAsia"/>
      </w:rPr>
      <w:t>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both"/>
    </w:pPr>
    <w:r>
      <w:rPr>
        <w:rFonts w:hint="eastAsia"/>
      </w:rPr>
      <w:t>T</w:t>
    </w:r>
    <w:r>
      <w:t>/</w:t>
    </w:r>
    <w:r>
      <w:rPr>
        <w:rFonts w:hint="eastAsia"/>
      </w:rPr>
      <w:t>ZZB</w:t>
    </w:r>
    <w:r>
      <w:t xml:space="preserve"> </w:t>
    </w:r>
    <w:r>
      <w:rPr>
        <w:rFonts w:hint="eastAsia"/>
      </w:rPr>
      <w:t>XXXX</w:t>
    </w:r>
    <w:r>
      <w:t>—</w:t>
    </w:r>
    <w:r>
      <w:rPr>
        <w:rFonts w:hint="eastAsia"/>
      </w:rPr>
      <w:t>XXXX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C91163"/>
    <w:multiLevelType w:val="multilevel"/>
    <w:tmpl w:val="1FC91163"/>
    <w:lvl w:ilvl="0" w:tentative="0">
      <w:start w:val="1"/>
      <w:numFmt w:val="decimal"/>
      <w:pStyle w:val="31"/>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34"/>
      <w:suff w:val="nothing"/>
      <w:lvlText w:val="%1.%2　"/>
      <w:lvlJc w:val="left"/>
      <w:pPr>
        <w:ind w:left="0" w:firstLine="0"/>
      </w:pPr>
      <w:rPr>
        <w:rFonts w:hint="eastAsia" w:ascii="黑体" w:hAnsi="Times New Roman" w:eastAsia="黑体" w:cs="Times New Roman"/>
        <w:b w:val="0"/>
        <w:bCs w:val="0"/>
        <w:i w:val="0"/>
        <w:iCs w:val="0"/>
        <w:caps w:val="0"/>
        <w:strike w:val="0"/>
        <w:dstrike w:val="0"/>
        <w:vanish w:val="0"/>
        <w:spacing w:val="0"/>
        <w:kern w:val="0"/>
        <w:position w:val="0"/>
        <w:sz w:val="21"/>
        <w:szCs w:val="21"/>
        <w:u w:val="none"/>
        <w:vertAlign w:val="baseline"/>
      </w:rPr>
    </w:lvl>
    <w:lvl w:ilvl="2" w:tentative="0">
      <w:start w:val="1"/>
      <w:numFmt w:val="decimal"/>
      <w:pStyle w:val="33"/>
      <w:suff w:val="nothing"/>
      <w:lvlText w:val="%1.%2.%3　"/>
      <w:lvlJc w:val="left"/>
      <w:pPr>
        <w:ind w:left="0" w:firstLine="0"/>
      </w:pPr>
      <w:rPr>
        <w:rFonts w:hint="eastAsia" w:ascii="黑体" w:hAnsi="Times New Roman" w:eastAsia="黑体"/>
        <w:b w:val="0"/>
        <w:i w:val="0"/>
        <w:sz w:val="21"/>
      </w:rPr>
    </w:lvl>
    <w:lvl w:ilvl="3" w:tentative="0">
      <w:start w:val="1"/>
      <w:numFmt w:val="lowerLetter"/>
      <w:suff w:val="nothing"/>
      <w:lvlText w:val="%4)"/>
      <w:lvlJc w:val="left"/>
      <w:pPr>
        <w:ind w:left="851" w:firstLine="0"/>
      </w:pPr>
      <w:rPr>
        <w:rFonts w:ascii="Times New Roman" w:hAnsi="Times New Roman" w:eastAsia="宋体" w:cs="Times New Roman"/>
        <w:b w:val="0"/>
        <w:i w:val="0"/>
        <w:sz w:val="21"/>
      </w:rPr>
    </w:lvl>
    <w:lvl w:ilvl="4" w:tentative="0">
      <w:start w:val="1"/>
      <w:numFmt w:val="decimal"/>
      <w:suff w:val="nothing"/>
      <w:lvlText w:val="%1.%2.%3.%4.%5　"/>
      <w:lvlJc w:val="left"/>
      <w:pPr>
        <w:ind w:left="1418"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
    <w:nsid w:val="22827D5B"/>
    <w:multiLevelType w:val="multilevel"/>
    <w:tmpl w:val="22827D5B"/>
    <w:lvl w:ilvl="0" w:tentative="0">
      <w:start w:val="1"/>
      <w:numFmt w:val="none"/>
      <w:pStyle w:val="36"/>
      <w:suff w:val="nothing"/>
      <w:lvlText w:val="%1注："/>
      <w:lvlJc w:val="left"/>
      <w:pPr>
        <w:ind w:left="726" w:hanging="363"/>
      </w:pPr>
      <w:rPr>
        <w:rFonts w:hint="eastAsia" w:ascii="黑体" w:hAnsi="Times New Roman"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2">
    <w:nsid w:val="60E43234"/>
    <w:multiLevelType w:val="multilevel"/>
    <w:tmpl w:val="60E43234"/>
    <w:lvl w:ilvl="0" w:tentative="0">
      <w:start w:val="1"/>
      <w:numFmt w:val="lowerLetter"/>
      <w:lvlText w:val="%1)"/>
      <w:lvlJc w:val="left"/>
      <w:pPr>
        <w:ind w:left="1211" w:hanging="360"/>
      </w:pPr>
      <w:rPr>
        <w:rFonts w:hint="default"/>
      </w:rPr>
    </w:lvl>
    <w:lvl w:ilvl="1" w:tentative="0">
      <w:start w:val="1"/>
      <w:numFmt w:val="lowerLetter"/>
      <w:lvlText w:val="%2)"/>
      <w:lvlJc w:val="left"/>
      <w:pPr>
        <w:ind w:left="1691" w:hanging="420"/>
      </w:pPr>
    </w:lvl>
    <w:lvl w:ilvl="2" w:tentative="0">
      <w:start w:val="1"/>
      <w:numFmt w:val="lowerRoman"/>
      <w:lvlText w:val="%3."/>
      <w:lvlJc w:val="right"/>
      <w:pPr>
        <w:ind w:left="2111" w:hanging="420"/>
      </w:pPr>
    </w:lvl>
    <w:lvl w:ilvl="3" w:tentative="0">
      <w:start w:val="1"/>
      <w:numFmt w:val="decimal"/>
      <w:lvlText w:val="%4."/>
      <w:lvlJc w:val="left"/>
      <w:pPr>
        <w:ind w:left="2531" w:hanging="420"/>
      </w:pPr>
    </w:lvl>
    <w:lvl w:ilvl="4" w:tentative="0">
      <w:start w:val="1"/>
      <w:numFmt w:val="lowerLetter"/>
      <w:lvlText w:val="%5)"/>
      <w:lvlJc w:val="left"/>
      <w:pPr>
        <w:ind w:left="2951" w:hanging="420"/>
      </w:pPr>
    </w:lvl>
    <w:lvl w:ilvl="5" w:tentative="0">
      <w:start w:val="1"/>
      <w:numFmt w:val="lowerRoman"/>
      <w:lvlText w:val="%6."/>
      <w:lvlJc w:val="right"/>
      <w:pPr>
        <w:ind w:left="3371" w:hanging="420"/>
      </w:pPr>
    </w:lvl>
    <w:lvl w:ilvl="6" w:tentative="0">
      <w:start w:val="1"/>
      <w:numFmt w:val="decimal"/>
      <w:lvlText w:val="%7."/>
      <w:lvlJc w:val="left"/>
      <w:pPr>
        <w:ind w:left="3791" w:hanging="420"/>
      </w:pPr>
    </w:lvl>
    <w:lvl w:ilvl="7" w:tentative="0">
      <w:start w:val="1"/>
      <w:numFmt w:val="lowerLetter"/>
      <w:lvlText w:val="%8)"/>
      <w:lvlJc w:val="left"/>
      <w:pPr>
        <w:ind w:left="4211" w:hanging="420"/>
      </w:pPr>
    </w:lvl>
    <w:lvl w:ilvl="8" w:tentative="0">
      <w:start w:val="1"/>
      <w:numFmt w:val="lowerRoman"/>
      <w:lvlText w:val="%9."/>
      <w:lvlJc w:val="right"/>
      <w:pPr>
        <w:ind w:left="4631" w:hanging="420"/>
      </w:pPr>
    </w:lvl>
  </w:abstractNum>
  <w:abstractNum w:abstractNumId="3">
    <w:nsid w:val="60E90DF6"/>
    <w:multiLevelType w:val="multilevel"/>
    <w:tmpl w:val="60E90DF6"/>
    <w:lvl w:ilvl="0" w:tentative="0">
      <w:start w:val="1"/>
      <w:numFmt w:val="lowerLetter"/>
      <w:lvlText w:val="%1)"/>
      <w:lvlJc w:val="left"/>
      <w:pPr>
        <w:ind w:left="1211" w:hanging="360"/>
      </w:pPr>
      <w:rPr>
        <w:rFonts w:hint="default"/>
      </w:rPr>
    </w:lvl>
    <w:lvl w:ilvl="1" w:tentative="0">
      <w:start w:val="1"/>
      <w:numFmt w:val="lowerLetter"/>
      <w:lvlText w:val="%2)"/>
      <w:lvlJc w:val="left"/>
      <w:pPr>
        <w:ind w:left="1691" w:hanging="420"/>
      </w:pPr>
    </w:lvl>
    <w:lvl w:ilvl="2" w:tentative="0">
      <w:start w:val="1"/>
      <w:numFmt w:val="lowerRoman"/>
      <w:lvlText w:val="%3."/>
      <w:lvlJc w:val="right"/>
      <w:pPr>
        <w:ind w:left="2111" w:hanging="420"/>
      </w:pPr>
    </w:lvl>
    <w:lvl w:ilvl="3" w:tentative="0">
      <w:start w:val="1"/>
      <w:numFmt w:val="decimal"/>
      <w:lvlText w:val="%4."/>
      <w:lvlJc w:val="left"/>
      <w:pPr>
        <w:ind w:left="2531" w:hanging="420"/>
      </w:pPr>
    </w:lvl>
    <w:lvl w:ilvl="4" w:tentative="0">
      <w:start w:val="1"/>
      <w:numFmt w:val="lowerLetter"/>
      <w:lvlText w:val="%5)"/>
      <w:lvlJc w:val="left"/>
      <w:pPr>
        <w:ind w:left="2951" w:hanging="420"/>
      </w:pPr>
    </w:lvl>
    <w:lvl w:ilvl="5" w:tentative="0">
      <w:start w:val="1"/>
      <w:numFmt w:val="lowerRoman"/>
      <w:lvlText w:val="%6."/>
      <w:lvlJc w:val="right"/>
      <w:pPr>
        <w:ind w:left="3371" w:hanging="420"/>
      </w:pPr>
    </w:lvl>
    <w:lvl w:ilvl="6" w:tentative="0">
      <w:start w:val="1"/>
      <w:numFmt w:val="decimal"/>
      <w:lvlText w:val="%7."/>
      <w:lvlJc w:val="left"/>
      <w:pPr>
        <w:ind w:left="3791" w:hanging="420"/>
      </w:pPr>
    </w:lvl>
    <w:lvl w:ilvl="7" w:tentative="0">
      <w:start w:val="1"/>
      <w:numFmt w:val="lowerLetter"/>
      <w:lvlText w:val="%8)"/>
      <w:lvlJc w:val="left"/>
      <w:pPr>
        <w:ind w:left="4211" w:hanging="420"/>
      </w:pPr>
    </w:lvl>
    <w:lvl w:ilvl="8" w:tentative="0">
      <w:start w:val="1"/>
      <w:numFmt w:val="lowerRoman"/>
      <w:lvlText w:val="%9."/>
      <w:lvlJc w:val="right"/>
      <w:pPr>
        <w:ind w:left="4631" w:hanging="420"/>
      </w:pPr>
    </w:lvl>
  </w:abstractNum>
  <w:abstractNum w:abstractNumId="4">
    <w:nsid w:val="60E9664A"/>
    <w:multiLevelType w:val="multilevel"/>
    <w:tmpl w:val="60E9664A"/>
    <w:lvl w:ilvl="0" w:tentative="0">
      <w:start w:val="1"/>
      <w:numFmt w:val="lowerLetter"/>
      <w:lvlText w:val="%1)"/>
      <w:lvlJc w:val="left"/>
      <w:pPr>
        <w:ind w:left="1211" w:hanging="360"/>
      </w:pPr>
      <w:rPr>
        <w:rFonts w:hint="default"/>
      </w:rPr>
    </w:lvl>
    <w:lvl w:ilvl="1" w:tentative="0">
      <w:start w:val="1"/>
      <w:numFmt w:val="lowerLetter"/>
      <w:lvlText w:val="%2)"/>
      <w:lvlJc w:val="left"/>
      <w:pPr>
        <w:ind w:left="1691" w:hanging="420"/>
      </w:pPr>
    </w:lvl>
    <w:lvl w:ilvl="2" w:tentative="0">
      <w:start w:val="1"/>
      <w:numFmt w:val="lowerRoman"/>
      <w:lvlText w:val="%3."/>
      <w:lvlJc w:val="right"/>
      <w:pPr>
        <w:ind w:left="2111" w:hanging="420"/>
      </w:pPr>
    </w:lvl>
    <w:lvl w:ilvl="3" w:tentative="0">
      <w:start w:val="1"/>
      <w:numFmt w:val="decimal"/>
      <w:lvlText w:val="%4."/>
      <w:lvlJc w:val="left"/>
      <w:pPr>
        <w:ind w:left="2531" w:hanging="420"/>
      </w:pPr>
    </w:lvl>
    <w:lvl w:ilvl="4" w:tentative="0">
      <w:start w:val="1"/>
      <w:numFmt w:val="lowerLetter"/>
      <w:lvlText w:val="%5)"/>
      <w:lvlJc w:val="left"/>
      <w:pPr>
        <w:ind w:left="2951" w:hanging="420"/>
      </w:pPr>
    </w:lvl>
    <w:lvl w:ilvl="5" w:tentative="0">
      <w:start w:val="1"/>
      <w:numFmt w:val="lowerRoman"/>
      <w:lvlText w:val="%6."/>
      <w:lvlJc w:val="right"/>
      <w:pPr>
        <w:ind w:left="3371" w:hanging="420"/>
      </w:pPr>
    </w:lvl>
    <w:lvl w:ilvl="6" w:tentative="0">
      <w:start w:val="1"/>
      <w:numFmt w:val="decimal"/>
      <w:lvlText w:val="%7."/>
      <w:lvlJc w:val="left"/>
      <w:pPr>
        <w:ind w:left="3791" w:hanging="420"/>
      </w:pPr>
    </w:lvl>
    <w:lvl w:ilvl="7" w:tentative="0">
      <w:start w:val="1"/>
      <w:numFmt w:val="lowerLetter"/>
      <w:lvlText w:val="%8)"/>
      <w:lvlJc w:val="left"/>
      <w:pPr>
        <w:ind w:left="4211" w:hanging="420"/>
      </w:pPr>
    </w:lvl>
    <w:lvl w:ilvl="8" w:tentative="0">
      <w:start w:val="1"/>
      <w:numFmt w:val="lowerRoman"/>
      <w:lvlText w:val="%9."/>
      <w:lvlJc w:val="right"/>
      <w:pPr>
        <w:ind w:left="4631" w:hanging="420"/>
      </w:pPr>
    </w:lvl>
  </w:abstractNum>
  <w:abstractNum w:abstractNumId="5">
    <w:nsid w:val="60E96F11"/>
    <w:multiLevelType w:val="multilevel"/>
    <w:tmpl w:val="60E96F11"/>
    <w:lvl w:ilvl="0" w:tentative="0">
      <w:start w:val="1"/>
      <w:numFmt w:val="decimal"/>
      <w:pStyle w:val="35"/>
      <w:suff w:val="nothing"/>
      <w:lvlText w:val="表%1　"/>
      <w:lvlJc w:val="left"/>
      <w:pPr>
        <w:tabs>
          <w:tab w:val="left" w:pos="0"/>
        </w:tabs>
        <w:ind w:left="3686" w:firstLine="0"/>
      </w:pPr>
      <w:rPr>
        <w:rFonts w:hint="default" w:ascii="黑体" w:hAnsi="Times New Roman" w:eastAsia="黑体"/>
        <w:b w:val="0"/>
        <w:i w:val="0"/>
        <w:sz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6">
    <w:nsid w:val="60F53847"/>
    <w:multiLevelType w:val="multilevel"/>
    <w:tmpl w:val="60F53847"/>
    <w:lvl w:ilvl="0" w:tentative="0">
      <w:start w:val="1"/>
      <w:numFmt w:val="lowerLetter"/>
      <w:lvlText w:val="%1)"/>
      <w:lvlJc w:val="left"/>
      <w:pPr>
        <w:ind w:left="1211" w:hanging="360"/>
      </w:pPr>
      <w:rPr>
        <w:rFonts w:hint="default"/>
      </w:rPr>
    </w:lvl>
    <w:lvl w:ilvl="1" w:tentative="0">
      <w:start w:val="1"/>
      <w:numFmt w:val="lowerLetter"/>
      <w:lvlText w:val="%2)"/>
      <w:lvlJc w:val="left"/>
      <w:pPr>
        <w:ind w:left="1691" w:hanging="420"/>
      </w:pPr>
    </w:lvl>
    <w:lvl w:ilvl="2" w:tentative="0">
      <w:start w:val="1"/>
      <w:numFmt w:val="lowerRoman"/>
      <w:lvlText w:val="%3."/>
      <w:lvlJc w:val="right"/>
      <w:pPr>
        <w:ind w:left="2111" w:hanging="420"/>
      </w:pPr>
    </w:lvl>
    <w:lvl w:ilvl="3" w:tentative="0">
      <w:start w:val="1"/>
      <w:numFmt w:val="decimal"/>
      <w:lvlText w:val="%4."/>
      <w:lvlJc w:val="left"/>
      <w:pPr>
        <w:ind w:left="2531" w:hanging="420"/>
      </w:pPr>
    </w:lvl>
    <w:lvl w:ilvl="4" w:tentative="0">
      <w:start w:val="1"/>
      <w:numFmt w:val="lowerLetter"/>
      <w:lvlText w:val="%5)"/>
      <w:lvlJc w:val="left"/>
      <w:pPr>
        <w:ind w:left="2951" w:hanging="420"/>
      </w:pPr>
    </w:lvl>
    <w:lvl w:ilvl="5" w:tentative="0">
      <w:start w:val="1"/>
      <w:numFmt w:val="lowerRoman"/>
      <w:lvlText w:val="%6."/>
      <w:lvlJc w:val="right"/>
      <w:pPr>
        <w:ind w:left="3371" w:hanging="420"/>
      </w:pPr>
    </w:lvl>
    <w:lvl w:ilvl="6" w:tentative="0">
      <w:start w:val="1"/>
      <w:numFmt w:val="decimal"/>
      <w:lvlText w:val="%7."/>
      <w:lvlJc w:val="left"/>
      <w:pPr>
        <w:ind w:left="3791" w:hanging="420"/>
      </w:pPr>
    </w:lvl>
    <w:lvl w:ilvl="7" w:tentative="0">
      <w:start w:val="1"/>
      <w:numFmt w:val="lowerLetter"/>
      <w:lvlText w:val="%8)"/>
      <w:lvlJc w:val="left"/>
      <w:pPr>
        <w:ind w:left="4211" w:hanging="420"/>
      </w:pPr>
    </w:lvl>
    <w:lvl w:ilvl="8" w:tentative="0">
      <w:start w:val="1"/>
      <w:numFmt w:val="lowerRoman"/>
      <w:lvlText w:val="%9."/>
      <w:lvlJc w:val="right"/>
      <w:pPr>
        <w:ind w:left="4631" w:hanging="420"/>
      </w:pPr>
    </w:lvl>
  </w:abstractNum>
  <w:abstractNum w:abstractNumId="7">
    <w:nsid w:val="6DBF04F4"/>
    <w:multiLevelType w:val="multilevel"/>
    <w:tmpl w:val="6DBF04F4"/>
    <w:lvl w:ilvl="0" w:tentative="0">
      <w:start w:val="1"/>
      <w:numFmt w:val="none"/>
      <w:pStyle w:val="37"/>
      <w:suff w:val="nothing"/>
      <w:lvlText w:val="%1注："/>
      <w:lvlJc w:val="left"/>
      <w:pPr>
        <w:ind w:left="1497" w:hanging="363"/>
      </w:pPr>
      <w:rPr>
        <w:rFonts w:hint="eastAsia" w:ascii="黑体" w:hAnsi="Times New Roman" w:eastAsia="黑体"/>
        <w:b w:val="0"/>
        <w:i w:val="0"/>
        <w:sz w:val="18"/>
        <w:lang w:val="en-US"/>
      </w:rPr>
    </w:lvl>
    <w:lvl w:ilvl="1" w:tentative="0">
      <w:start w:val="1"/>
      <w:numFmt w:val="lowerLetter"/>
      <w:lvlText w:val="%2)"/>
      <w:lvlJc w:val="left"/>
      <w:pPr>
        <w:tabs>
          <w:tab w:val="left" w:pos="1911"/>
        </w:tabs>
        <w:ind w:left="1497" w:hanging="363"/>
      </w:pPr>
      <w:rPr>
        <w:rFonts w:hint="eastAsia"/>
      </w:rPr>
    </w:lvl>
    <w:lvl w:ilvl="2" w:tentative="0">
      <w:start w:val="1"/>
      <w:numFmt w:val="lowerRoman"/>
      <w:lvlText w:val="%3."/>
      <w:lvlJc w:val="right"/>
      <w:pPr>
        <w:tabs>
          <w:tab w:val="left" w:pos="1911"/>
        </w:tabs>
        <w:ind w:left="1497" w:hanging="363"/>
      </w:pPr>
      <w:rPr>
        <w:rFonts w:hint="eastAsia"/>
      </w:rPr>
    </w:lvl>
    <w:lvl w:ilvl="3" w:tentative="0">
      <w:start w:val="1"/>
      <w:numFmt w:val="decimal"/>
      <w:lvlText w:val="%4."/>
      <w:lvlJc w:val="left"/>
      <w:pPr>
        <w:tabs>
          <w:tab w:val="left" w:pos="1911"/>
        </w:tabs>
        <w:ind w:left="1497" w:hanging="363"/>
      </w:pPr>
      <w:rPr>
        <w:rFonts w:hint="eastAsia"/>
      </w:rPr>
    </w:lvl>
    <w:lvl w:ilvl="4" w:tentative="0">
      <w:start w:val="1"/>
      <w:numFmt w:val="lowerLetter"/>
      <w:lvlText w:val="%5)"/>
      <w:lvlJc w:val="left"/>
      <w:pPr>
        <w:tabs>
          <w:tab w:val="left" w:pos="1911"/>
        </w:tabs>
        <w:ind w:left="1497" w:hanging="363"/>
      </w:pPr>
      <w:rPr>
        <w:rFonts w:hint="eastAsia"/>
      </w:rPr>
    </w:lvl>
    <w:lvl w:ilvl="5" w:tentative="0">
      <w:start w:val="1"/>
      <w:numFmt w:val="lowerRoman"/>
      <w:lvlText w:val="%6."/>
      <w:lvlJc w:val="right"/>
      <w:pPr>
        <w:tabs>
          <w:tab w:val="left" w:pos="1911"/>
        </w:tabs>
        <w:ind w:left="1497" w:hanging="363"/>
      </w:pPr>
      <w:rPr>
        <w:rFonts w:hint="eastAsia"/>
      </w:rPr>
    </w:lvl>
    <w:lvl w:ilvl="6" w:tentative="0">
      <w:start w:val="1"/>
      <w:numFmt w:val="decimal"/>
      <w:lvlText w:val="%7."/>
      <w:lvlJc w:val="left"/>
      <w:pPr>
        <w:tabs>
          <w:tab w:val="left" w:pos="1911"/>
        </w:tabs>
        <w:ind w:left="1497" w:hanging="363"/>
      </w:pPr>
      <w:rPr>
        <w:rFonts w:hint="eastAsia"/>
      </w:rPr>
    </w:lvl>
    <w:lvl w:ilvl="7" w:tentative="0">
      <w:start w:val="1"/>
      <w:numFmt w:val="lowerLetter"/>
      <w:lvlText w:val="%8)"/>
      <w:lvlJc w:val="left"/>
      <w:pPr>
        <w:tabs>
          <w:tab w:val="left" w:pos="1911"/>
        </w:tabs>
        <w:ind w:left="1497" w:hanging="363"/>
      </w:pPr>
      <w:rPr>
        <w:rFonts w:hint="eastAsia"/>
      </w:rPr>
    </w:lvl>
    <w:lvl w:ilvl="8" w:tentative="0">
      <w:start w:val="1"/>
      <w:numFmt w:val="lowerRoman"/>
      <w:lvlText w:val="%9."/>
      <w:lvlJc w:val="right"/>
      <w:pPr>
        <w:tabs>
          <w:tab w:val="left" w:pos="1911"/>
        </w:tabs>
        <w:ind w:left="1497" w:hanging="363"/>
      </w:pPr>
      <w:rPr>
        <w:rFonts w:hint="eastAsia"/>
      </w:rPr>
    </w:lvl>
  </w:abstractNum>
  <w:num w:numId="1">
    <w:abstractNumId w:val="0"/>
  </w:num>
  <w:num w:numId="2">
    <w:abstractNumId w:val="5"/>
  </w:num>
  <w:num w:numId="3">
    <w:abstractNumId w:val="1"/>
  </w:num>
  <w:num w:numId="4">
    <w:abstractNumId w:val="7"/>
  </w:num>
  <w:num w:numId="5">
    <w:abstractNumId w:val="2"/>
  </w:num>
  <w:num w:numId="6">
    <w:abstractNumId w:val="6"/>
  </w:num>
  <w:num w:numId="7">
    <w:abstractNumId w:val="3"/>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8"/>
  <w:doNotDisplayPageBoundaries w:val="1"/>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FF7012E"/>
    <w:rsid w:val="00075556"/>
    <w:rsid w:val="00133C90"/>
    <w:rsid w:val="001E55FD"/>
    <w:rsid w:val="00247AAB"/>
    <w:rsid w:val="002B4C99"/>
    <w:rsid w:val="002F4625"/>
    <w:rsid w:val="00344931"/>
    <w:rsid w:val="0037240C"/>
    <w:rsid w:val="003D1C44"/>
    <w:rsid w:val="004166F7"/>
    <w:rsid w:val="00454A15"/>
    <w:rsid w:val="00497B2C"/>
    <w:rsid w:val="005639F4"/>
    <w:rsid w:val="005705CF"/>
    <w:rsid w:val="00587386"/>
    <w:rsid w:val="00592D37"/>
    <w:rsid w:val="005C61FF"/>
    <w:rsid w:val="005E2C37"/>
    <w:rsid w:val="006A67D3"/>
    <w:rsid w:val="006C7934"/>
    <w:rsid w:val="007874B8"/>
    <w:rsid w:val="007B542C"/>
    <w:rsid w:val="007F7998"/>
    <w:rsid w:val="008133C3"/>
    <w:rsid w:val="008E1EC5"/>
    <w:rsid w:val="009378CE"/>
    <w:rsid w:val="00A4261C"/>
    <w:rsid w:val="00A968BE"/>
    <w:rsid w:val="00A974D8"/>
    <w:rsid w:val="00AF2B46"/>
    <w:rsid w:val="00B32CD1"/>
    <w:rsid w:val="00B71D1B"/>
    <w:rsid w:val="00B72729"/>
    <w:rsid w:val="00B86055"/>
    <w:rsid w:val="00BD37B9"/>
    <w:rsid w:val="00C441D5"/>
    <w:rsid w:val="00CF4862"/>
    <w:rsid w:val="00E72B76"/>
    <w:rsid w:val="00E82A89"/>
    <w:rsid w:val="00EA0446"/>
    <w:rsid w:val="00EC3A54"/>
    <w:rsid w:val="00F345AC"/>
    <w:rsid w:val="00F60854"/>
    <w:rsid w:val="2FBFDB4B"/>
    <w:rsid w:val="35F777D8"/>
    <w:rsid w:val="3BEFD26A"/>
    <w:rsid w:val="4EFFBB65"/>
    <w:rsid w:val="567FA90C"/>
    <w:rsid w:val="5FEE2426"/>
    <w:rsid w:val="6F4F059B"/>
    <w:rsid w:val="7BFE74A1"/>
    <w:rsid w:val="7DB96C94"/>
    <w:rsid w:val="7DED283E"/>
    <w:rsid w:val="7FBB1205"/>
    <w:rsid w:val="7FBDDA5A"/>
    <w:rsid w:val="7FBF9E9F"/>
    <w:rsid w:val="B2EFCBDB"/>
    <w:rsid w:val="D69751CD"/>
    <w:rsid w:val="DBF9B5CC"/>
    <w:rsid w:val="DDF90903"/>
    <w:rsid w:val="DFBE2F04"/>
    <w:rsid w:val="EFFA7572"/>
    <w:rsid w:val="F3FBDC28"/>
    <w:rsid w:val="F62F215B"/>
    <w:rsid w:val="F7D7CA16"/>
    <w:rsid w:val="F7FD2285"/>
    <w:rsid w:val="F96A8D3C"/>
    <w:rsid w:val="FF1E254F"/>
    <w:rsid w:val="FFBFE8EB"/>
    <w:rsid w:val="FFEA1B49"/>
    <w:rsid w:val="FFF701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uiPriority="0" w:name="toc 2"/>
    <w:lsdException w:uiPriority="0" w:name="toc 3"/>
    <w:lsdException w:uiPriority="0" w:name="toc 4"/>
    <w:lsdException w:qFormat="1" w:unhideWhenUsed="0" w:uiPriority="0" w:semiHidden="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1">
    <w:name w:val="Default Paragraph Font"/>
    <w:unhideWhenUsed/>
    <w:qFormat/>
    <w:uiPriority w:val="1"/>
  </w:style>
  <w:style w:type="table" w:default="1" w:styleId="13">
    <w:name w:val="Normal Table"/>
    <w:unhideWhenUsed/>
    <w:qFormat/>
    <w:uiPriority w:val="99"/>
    <w:tblPr>
      <w:tblCellMar>
        <w:top w:w="0" w:type="dxa"/>
        <w:left w:w="108" w:type="dxa"/>
        <w:bottom w:w="0" w:type="dxa"/>
        <w:right w:w="108" w:type="dxa"/>
      </w:tblCellMar>
    </w:tblPr>
  </w:style>
  <w:style w:type="paragraph" w:styleId="2">
    <w:name w:val="annotation subject"/>
    <w:basedOn w:val="3"/>
    <w:next w:val="3"/>
    <w:link w:val="44"/>
    <w:qFormat/>
    <w:uiPriority w:val="0"/>
    <w:rPr>
      <w:b/>
      <w:bCs/>
    </w:rPr>
  </w:style>
  <w:style w:type="paragraph" w:styleId="3">
    <w:name w:val="annotation text"/>
    <w:basedOn w:val="1"/>
    <w:link w:val="43"/>
    <w:qFormat/>
    <w:uiPriority w:val="0"/>
    <w:pPr>
      <w:jc w:val="left"/>
    </w:pPr>
  </w:style>
  <w:style w:type="paragraph" w:styleId="4">
    <w:name w:val="Body Text"/>
    <w:basedOn w:val="1"/>
    <w:next w:val="1"/>
    <w:qFormat/>
    <w:uiPriority w:val="0"/>
    <w:rPr>
      <w:rFonts w:ascii="宋体" w:hAnsi="宋体" w:eastAsia="宋体" w:cs="宋体"/>
      <w:sz w:val="24"/>
      <w:lang w:val="zh-CN" w:bidi="zh-CN"/>
    </w:rPr>
  </w:style>
  <w:style w:type="paragraph" w:styleId="5">
    <w:name w:val="toc 5"/>
    <w:basedOn w:val="1"/>
    <w:next w:val="1"/>
    <w:qFormat/>
    <w:uiPriority w:val="0"/>
    <w:pPr>
      <w:ind w:left="1680" w:leftChars="800"/>
    </w:pPr>
  </w:style>
  <w:style w:type="paragraph" w:styleId="6">
    <w:name w:val="Balloon Text"/>
    <w:basedOn w:val="1"/>
    <w:link w:val="42"/>
    <w:qFormat/>
    <w:uiPriority w:val="0"/>
    <w:rPr>
      <w:sz w:val="18"/>
      <w:szCs w:val="18"/>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rFonts w:ascii="DejaVu Sans" w:hAnsi="DejaVu Sans"/>
      <w:sz w:val="18"/>
    </w:rPr>
  </w:style>
  <w:style w:type="paragraph" w:styleId="9">
    <w:name w:val="toc 1"/>
    <w:basedOn w:val="1"/>
    <w:next w:val="1"/>
    <w:qFormat/>
    <w:uiPriority w:val="0"/>
    <w:pPr>
      <w:tabs>
        <w:tab w:val="right" w:leader="dot" w:pos="9241"/>
      </w:tabs>
      <w:spacing w:beforeLines="25" w:afterLines="25"/>
      <w:jc w:val="left"/>
    </w:pPr>
    <w:rPr>
      <w:rFonts w:ascii="宋体"/>
      <w:szCs w:val="21"/>
    </w:rPr>
  </w:style>
  <w:style w:type="paragraph" w:styleId="10">
    <w:name w:val="Normal (Web)"/>
    <w:basedOn w:val="1"/>
    <w:qFormat/>
    <w:uiPriority w:val="0"/>
    <w:pPr>
      <w:spacing w:beforeAutospacing="1" w:afterAutospacing="1"/>
      <w:jc w:val="left"/>
    </w:pPr>
    <w:rPr>
      <w:rFonts w:cs="Times New Roman"/>
      <w:kern w:val="0"/>
      <w:sz w:val="24"/>
    </w:rPr>
  </w:style>
  <w:style w:type="character" w:styleId="12">
    <w:name w:val="annotation reference"/>
    <w:basedOn w:val="11"/>
    <w:qFormat/>
    <w:uiPriority w:val="0"/>
    <w:rPr>
      <w:sz w:val="21"/>
      <w:szCs w:val="21"/>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5">
    <w:name w:val="样式5"/>
    <w:basedOn w:val="5"/>
    <w:qFormat/>
    <w:uiPriority w:val="0"/>
    <w:rPr>
      <w:rFonts w:ascii="宋体" w:hAnsi="宋体"/>
      <w:szCs w:val="21"/>
    </w:rPr>
  </w:style>
  <w:style w:type="paragraph" w:customStyle="1" w:styleId="16">
    <w:name w:val="文献分类号"/>
    <w:qFormat/>
    <w:uiPriority w:val="99"/>
    <w:pPr>
      <w:framePr w:hSpace="180" w:vSpace="180" w:wrap="around" w:vAnchor="margin" w:hAnchor="margin" w:y="1" w:anchorLock="1"/>
      <w:widowControl w:val="0"/>
      <w:textAlignment w:val="center"/>
    </w:pPr>
    <w:rPr>
      <w:rFonts w:ascii="黑体" w:eastAsia="黑体" w:hAnsiTheme="minorHAnsi" w:cstheme="minorBidi"/>
      <w:sz w:val="21"/>
      <w:szCs w:val="21"/>
      <w:lang w:val="en-US" w:eastAsia="zh-CN" w:bidi="ar-SA"/>
    </w:rPr>
  </w:style>
  <w:style w:type="paragraph" w:customStyle="1" w:styleId="17">
    <w:name w:val="封面标准号2"/>
    <w:qFormat/>
    <w:uiPriority w:val="0"/>
    <w:pPr>
      <w:framePr w:w="9140" w:h="1242" w:hRule="exact" w:hSpace="284" w:wrap="around" w:vAnchor="page" w:hAnchor="page" w:x="1645" w:y="2910" w:anchorLock="1"/>
      <w:spacing w:before="357" w:line="280" w:lineRule="exact"/>
      <w:jc w:val="right"/>
    </w:pPr>
    <w:rPr>
      <w:rFonts w:ascii="黑体" w:eastAsia="黑体" w:hAnsiTheme="minorHAnsi" w:cstheme="minorBidi"/>
      <w:sz w:val="28"/>
      <w:szCs w:val="28"/>
      <w:lang w:val="en-US" w:eastAsia="zh-CN" w:bidi="ar-SA"/>
    </w:rPr>
  </w:style>
  <w:style w:type="paragraph" w:customStyle="1" w:styleId="18">
    <w:name w:val="封面标准名称"/>
    <w:qFormat/>
    <w:uiPriority w:val="0"/>
    <w:pPr>
      <w:framePr w:w="9639" w:h="6917" w:hRule="exact" w:wrap="around" w:vAnchor="page" w:hAnchor="page" w:xAlign="center" w:y="6408" w:anchorLock="1"/>
      <w:widowControl w:val="0"/>
      <w:spacing w:line="680" w:lineRule="exact"/>
      <w:jc w:val="center"/>
      <w:textAlignment w:val="center"/>
    </w:pPr>
    <w:rPr>
      <w:rFonts w:ascii="黑体" w:eastAsia="黑体" w:hAnsiTheme="minorHAnsi" w:cstheme="minorBidi"/>
      <w:sz w:val="52"/>
      <w:szCs w:val="22"/>
      <w:lang w:val="en-US" w:eastAsia="zh-CN" w:bidi="ar-SA"/>
    </w:rPr>
  </w:style>
  <w:style w:type="paragraph" w:customStyle="1" w:styleId="19">
    <w:name w:val="封面标准英文名称"/>
    <w:basedOn w:val="18"/>
    <w:qFormat/>
    <w:uiPriority w:val="0"/>
    <w:pPr>
      <w:spacing w:before="370" w:line="400" w:lineRule="exact"/>
    </w:pPr>
    <w:rPr>
      <w:rFonts w:ascii="Times New Roman"/>
      <w:sz w:val="28"/>
      <w:szCs w:val="28"/>
    </w:rPr>
  </w:style>
  <w:style w:type="paragraph" w:customStyle="1" w:styleId="20">
    <w:name w:val="其他发布日期"/>
    <w:basedOn w:val="21"/>
    <w:qFormat/>
    <w:uiPriority w:val="99"/>
    <w:pPr>
      <w:framePr w:vAnchor="page" w:hAnchor="text" w:x="1419"/>
    </w:pPr>
  </w:style>
  <w:style w:type="paragraph" w:customStyle="1" w:styleId="21">
    <w:name w:val="发布日期"/>
    <w:qFormat/>
    <w:uiPriority w:val="0"/>
    <w:pPr>
      <w:framePr w:w="3997" w:h="471" w:hRule="exact" w:vSpace="181" w:wrap="around" w:vAnchor="margin" w:hAnchor="page" w:x="7089" w:y="14097" w:anchorLock="1"/>
    </w:pPr>
    <w:rPr>
      <w:rFonts w:eastAsia="黑体" w:asciiTheme="minorHAnsi" w:hAnsiTheme="minorHAnsi" w:cstheme="minorBidi"/>
      <w:sz w:val="28"/>
      <w:szCs w:val="22"/>
      <w:lang w:val="en-US" w:eastAsia="zh-CN" w:bidi="ar-SA"/>
    </w:rPr>
  </w:style>
  <w:style w:type="paragraph" w:customStyle="1" w:styleId="22">
    <w:name w:val="其他实施日期"/>
    <w:basedOn w:val="23"/>
    <w:qFormat/>
    <w:uiPriority w:val="0"/>
  </w:style>
  <w:style w:type="paragraph" w:customStyle="1" w:styleId="23">
    <w:name w:val="实施日期"/>
    <w:basedOn w:val="21"/>
    <w:qFormat/>
    <w:uiPriority w:val="0"/>
    <w:pPr>
      <w:framePr w:vAnchor="page" w:hAnchor="text"/>
      <w:jc w:val="right"/>
    </w:pPr>
  </w:style>
  <w:style w:type="paragraph" w:customStyle="1" w:styleId="24">
    <w:name w:val="其他发布部门"/>
    <w:basedOn w:val="25"/>
    <w:qFormat/>
    <w:uiPriority w:val="0"/>
    <w:pPr>
      <w:framePr w:y="15310"/>
      <w:spacing w:line="0" w:lineRule="atLeast"/>
    </w:pPr>
    <w:rPr>
      <w:rFonts w:ascii="黑体" w:eastAsia="黑体"/>
      <w:b w:val="0"/>
    </w:rPr>
  </w:style>
  <w:style w:type="paragraph" w:customStyle="1" w:styleId="25">
    <w:name w:val="发布部门"/>
    <w:next w:val="26"/>
    <w:qFormat/>
    <w:uiPriority w:val="0"/>
    <w:pPr>
      <w:framePr w:w="7938" w:h="1134" w:hRule="exact" w:hSpace="125" w:vSpace="181" w:wrap="around" w:vAnchor="page" w:hAnchor="page" w:x="2150" w:y="14630" w:anchorLock="1"/>
      <w:jc w:val="center"/>
    </w:pPr>
    <w:rPr>
      <w:rFonts w:ascii="宋体" w:hAnsiTheme="minorHAnsi" w:eastAsiaTheme="minorEastAsia" w:cstheme="minorBidi"/>
      <w:b/>
      <w:spacing w:val="20"/>
      <w:w w:val="135"/>
      <w:sz w:val="28"/>
      <w:szCs w:val="22"/>
      <w:lang w:val="en-US" w:eastAsia="zh-CN" w:bidi="ar-SA"/>
    </w:rPr>
  </w:style>
  <w:style w:type="paragraph" w:customStyle="1" w:styleId="26">
    <w:name w:val="段"/>
    <w:qFormat/>
    <w:uiPriority w:val="0"/>
    <w:pPr>
      <w:tabs>
        <w:tab w:val="center" w:pos="4201"/>
        <w:tab w:val="right" w:leader="dot" w:pos="9298"/>
      </w:tabs>
      <w:autoSpaceDE w:val="0"/>
      <w:autoSpaceDN w:val="0"/>
      <w:ind w:firstLine="420" w:firstLineChars="200"/>
      <w:jc w:val="both"/>
    </w:pPr>
    <w:rPr>
      <w:rFonts w:ascii="宋体" w:hAnsiTheme="minorHAnsi" w:eastAsiaTheme="minorEastAsia" w:cstheme="minorBidi"/>
      <w:sz w:val="21"/>
      <w:szCs w:val="22"/>
      <w:lang w:val="en-US" w:eastAsia="zh-CN" w:bidi="ar-SA"/>
    </w:rPr>
  </w:style>
  <w:style w:type="character" w:customStyle="1" w:styleId="27">
    <w:name w:val="发布"/>
    <w:qFormat/>
    <w:uiPriority w:val="0"/>
    <w:rPr>
      <w:rFonts w:ascii="黑体" w:eastAsia="黑体"/>
      <w:spacing w:val="85"/>
      <w:w w:val="100"/>
      <w:position w:val="3"/>
      <w:sz w:val="28"/>
      <w:szCs w:val="28"/>
    </w:rPr>
  </w:style>
  <w:style w:type="paragraph" w:customStyle="1" w:styleId="28">
    <w:name w:val="其他标准称谓"/>
    <w:next w:val="1"/>
    <w:qFormat/>
    <w:uiPriority w:val="0"/>
    <w:pPr>
      <w:framePr w:hSpace="181" w:vSpace="181" w:wrap="around" w:vAnchor="page" w:hAnchor="page" w:x="1419" w:y="2286" w:anchorLock="1"/>
      <w:spacing w:line="0" w:lineRule="atLeast"/>
      <w:jc w:val="distribute"/>
    </w:pPr>
    <w:rPr>
      <w:rFonts w:ascii="黑体" w:hAnsi="宋体" w:eastAsia="黑体" w:cstheme="minorBidi"/>
      <w:spacing w:val="-40"/>
      <w:sz w:val="48"/>
      <w:szCs w:val="52"/>
      <w:lang w:val="en-US" w:eastAsia="zh-CN" w:bidi="ar-SA"/>
    </w:rPr>
  </w:style>
  <w:style w:type="paragraph" w:customStyle="1" w:styleId="29">
    <w:name w:val="前言、引言标题"/>
    <w:next w:val="26"/>
    <w:qFormat/>
    <w:uiPriority w:val="0"/>
    <w:pPr>
      <w:keepNext/>
      <w:pageBreakBefore/>
      <w:shd w:val="clear" w:color="FFFFFF" w:fill="FFFFFF"/>
      <w:spacing w:before="640" w:after="560"/>
      <w:jc w:val="center"/>
      <w:outlineLvl w:val="0"/>
    </w:pPr>
    <w:rPr>
      <w:rFonts w:ascii="黑体" w:eastAsia="黑体" w:hAnsiTheme="minorHAnsi" w:cstheme="minorBidi"/>
      <w:sz w:val="32"/>
      <w:szCs w:val="22"/>
      <w:lang w:val="en-US" w:eastAsia="zh-CN" w:bidi="ar-SA"/>
    </w:rPr>
  </w:style>
  <w:style w:type="paragraph" w:customStyle="1" w:styleId="30">
    <w:name w:val="目次、标准名称标题"/>
    <w:basedOn w:val="1"/>
    <w:next w:val="26"/>
    <w:qFormat/>
    <w:uiPriority w:val="0"/>
    <w:pPr>
      <w:keepNext/>
      <w:pageBreakBefore/>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31">
    <w:name w:val="章标题"/>
    <w:next w:val="26"/>
    <w:qFormat/>
    <w:uiPriority w:val="0"/>
    <w:pPr>
      <w:numPr>
        <w:ilvl w:val="0"/>
        <w:numId w:val="1"/>
      </w:numPr>
      <w:spacing w:beforeLines="100" w:afterLines="100"/>
      <w:jc w:val="both"/>
      <w:outlineLvl w:val="1"/>
    </w:pPr>
    <w:rPr>
      <w:rFonts w:ascii="黑体" w:eastAsia="黑体" w:hAnsiTheme="minorHAnsi" w:cstheme="minorBidi"/>
      <w:sz w:val="21"/>
      <w:szCs w:val="22"/>
      <w:lang w:val="en-US" w:eastAsia="zh-CN" w:bidi="ar-SA"/>
    </w:rPr>
  </w:style>
  <w:style w:type="paragraph" w:customStyle="1" w:styleId="32">
    <w:name w:val="二级无"/>
    <w:basedOn w:val="33"/>
    <w:qFormat/>
    <w:uiPriority w:val="0"/>
    <w:pPr>
      <w:spacing w:beforeLines="0" w:afterLines="0"/>
    </w:pPr>
    <w:rPr>
      <w:rFonts w:ascii="宋体" w:eastAsia="宋体"/>
    </w:rPr>
  </w:style>
  <w:style w:type="paragraph" w:customStyle="1" w:styleId="33">
    <w:name w:val="二级条标题"/>
    <w:basedOn w:val="34"/>
    <w:next w:val="26"/>
    <w:qFormat/>
    <w:uiPriority w:val="0"/>
    <w:pPr>
      <w:numPr>
        <w:ilvl w:val="2"/>
      </w:numPr>
      <w:spacing w:before="50" w:after="50"/>
      <w:outlineLvl w:val="3"/>
    </w:pPr>
  </w:style>
  <w:style w:type="paragraph" w:customStyle="1" w:styleId="34">
    <w:name w:val="一级条标题"/>
    <w:next w:val="26"/>
    <w:qFormat/>
    <w:uiPriority w:val="0"/>
    <w:pPr>
      <w:numPr>
        <w:ilvl w:val="1"/>
        <w:numId w:val="1"/>
      </w:numPr>
      <w:spacing w:beforeLines="50" w:afterLines="50"/>
      <w:outlineLvl w:val="2"/>
    </w:pPr>
    <w:rPr>
      <w:rFonts w:ascii="黑体" w:eastAsia="黑体" w:hAnsiTheme="minorHAnsi" w:cstheme="minorBidi"/>
      <w:sz w:val="21"/>
      <w:szCs w:val="21"/>
      <w:lang w:val="en-US" w:eastAsia="zh-CN" w:bidi="ar-SA"/>
    </w:rPr>
  </w:style>
  <w:style w:type="paragraph" w:customStyle="1" w:styleId="35">
    <w:name w:val="正文表标题"/>
    <w:next w:val="26"/>
    <w:qFormat/>
    <w:uiPriority w:val="0"/>
    <w:pPr>
      <w:numPr>
        <w:ilvl w:val="0"/>
        <w:numId w:val="2"/>
      </w:numPr>
      <w:tabs>
        <w:tab w:val="left" w:pos="360"/>
        <w:tab w:val="clear" w:pos="0"/>
      </w:tabs>
      <w:spacing w:beforeLines="50" w:afterLines="50"/>
      <w:jc w:val="center"/>
    </w:pPr>
    <w:rPr>
      <w:rFonts w:ascii="黑体" w:eastAsia="黑体" w:hAnsiTheme="minorHAnsi" w:cstheme="minorBidi"/>
      <w:sz w:val="21"/>
      <w:szCs w:val="22"/>
      <w:lang w:val="en-US" w:eastAsia="zh-CN" w:bidi="ar-SA"/>
    </w:rPr>
  </w:style>
  <w:style w:type="paragraph" w:customStyle="1" w:styleId="36">
    <w:name w:val="注：（正文）"/>
    <w:basedOn w:val="37"/>
    <w:next w:val="26"/>
    <w:qFormat/>
    <w:uiPriority w:val="0"/>
    <w:pPr>
      <w:numPr>
        <w:ilvl w:val="0"/>
        <w:numId w:val="3"/>
      </w:numPr>
    </w:pPr>
  </w:style>
  <w:style w:type="paragraph" w:customStyle="1" w:styleId="37">
    <w:name w:val="注："/>
    <w:next w:val="26"/>
    <w:qFormat/>
    <w:uiPriority w:val="0"/>
    <w:pPr>
      <w:widowControl w:val="0"/>
      <w:numPr>
        <w:ilvl w:val="0"/>
        <w:numId w:val="4"/>
      </w:numPr>
      <w:autoSpaceDE w:val="0"/>
      <w:autoSpaceDN w:val="0"/>
      <w:ind w:left="363"/>
      <w:jc w:val="both"/>
    </w:pPr>
    <w:rPr>
      <w:rFonts w:ascii="宋体" w:hAnsi="宋体" w:eastAsiaTheme="minorEastAsia" w:cstheme="minorBidi"/>
      <w:sz w:val="18"/>
      <w:szCs w:val="18"/>
      <w:lang w:val="en-US" w:eastAsia="zh-CN" w:bidi="ar-SA"/>
    </w:rPr>
  </w:style>
  <w:style w:type="paragraph" w:customStyle="1" w:styleId="38">
    <w:name w:val="标准书眉_偶数页"/>
    <w:basedOn w:val="39"/>
    <w:next w:val="1"/>
    <w:qFormat/>
    <w:uiPriority w:val="0"/>
    <w:pPr>
      <w:tabs>
        <w:tab w:val="center" w:pos="4154"/>
        <w:tab w:val="right" w:pos="8306"/>
      </w:tabs>
      <w:jc w:val="left"/>
    </w:pPr>
  </w:style>
  <w:style w:type="paragraph" w:customStyle="1" w:styleId="39">
    <w:name w:val="标准书眉_奇数页"/>
    <w:next w:val="1"/>
    <w:qFormat/>
    <w:uiPriority w:val="0"/>
    <w:pPr>
      <w:tabs>
        <w:tab w:val="center" w:pos="4154"/>
        <w:tab w:val="right" w:pos="8306"/>
      </w:tabs>
      <w:spacing w:after="220"/>
      <w:jc w:val="right"/>
    </w:pPr>
    <w:rPr>
      <w:rFonts w:ascii="黑体" w:eastAsia="黑体" w:hAnsiTheme="minorHAnsi" w:cstheme="minorBidi"/>
      <w:sz w:val="21"/>
      <w:szCs w:val="21"/>
      <w:lang w:val="en-US" w:eastAsia="zh-CN" w:bidi="ar-SA"/>
    </w:rPr>
  </w:style>
  <w:style w:type="paragraph" w:customStyle="1" w:styleId="40">
    <w:name w:val="标准书脚_偶数页"/>
    <w:qFormat/>
    <w:uiPriority w:val="0"/>
    <w:pPr>
      <w:spacing w:before="120"/>
      <w:ind w:left="221"/>
    </w:pPr>
    <w:rPr>
      <w:rFonts w:ascii="宋体" w:hAnsiTheme="minorHAnsi" w:eastAsiaTheme="minorEastAsia" w:cstheme="minorBidi"/>
      <w:sz w:val="18"/>
      <w:szCs w:val="18"/>
      <w:lang w:val="en-US" w:eastAsia="zh-CN" w:bidi="ar-SA"/>
    </w:rPr>
  </w:style>
  <w:style w:type="paragraph" w:customStyle="1" w:styleId="41">
    <w:name w:val="标准书脚_奇数页"/>
    <w:qFormat/>
    <w:uiPriority w:val="0"/>
    <w:pPr>
      <w:spacing w:before="120"/>
      <w:ind w:right="198"/>
      <w:jc w:val="right"/>
    </w:pPr>
    <w:rPr>
      <w:rFonts w:ascii="宋体" w:hAnsiTheme="minorHAnsi" w:eastAsiaTheme="minorEastAsia" w:cstheme="minorBidi"/>
      <w:sz w:val="18"/>
      <w:szCs w:val="18"/>
      <w:lang w:val="en-US" w:eastAsia="zh-CN" w:bidi="ar-SA"/>
    </w:rPr>
  </w:style>
  <w:style w:type="character" w:customStyle="1" w:styleId="42">
    <w:name w:val="批注框文本 Char"/>
    <w:basedOn w:val="11"/>
    <w:link w:val="6"/>
    <w:qFormat/>
    <w:uiPriority w:val="0"/>
    <w:rPr>
      <w:kern w:val="2"/>
      <w:sz w:val="18"/>
      <w:szCs w:val="18"/>
    </w:rPr>
  </w:style>
  <w:style w:type="character" w:customStyle="1" w:styleId="43">
    <w:name w:val="批注文字 Char"/>
    <w:basedOn w:val="11"/>
    <w:link w:val="3"/>
    <w:qFormat/>
    <w:uiPriority w:val="0"/>
    <w:rPr>
      <w:kern w:val="2"/>
      <w:sz w:val="21"/>
      <w:szCs w:val="24"/>
    </w:rPr>
  </w:style>
  <w:style w:type="character" w:customStyle="1" w:styleId="44">
    <w:name w:val="批注主题 Char"/>
    <w:basedOn w:val="43"/>
    <w:link w:val="2"/>
    <w:qFormat/>
    <w:uiPriority w:val="0"/>
    <w:rPr>
      <w:b/>
      <w:bCs/>
      <w:kern w:val="2"/>
      <w:sz w:val="21"/>
      <w:szCs w:val="24"/>
    </w:rPr>
  </w:style>
  <w:style w:type="paragraph" w:customStyle="1" w:styleId="45">
    <w:name w:val="列出段落1"/>
    <w:basedOn w:val="1"/>
    <w:unhideWhenUsed/>
    <w:qFormat/>
    <w:uiPriority w:val="99"/>
    <w:pPr>
      <w:ind w:firstLine="420" w:firstLineChars="200"/>
    </w:p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microsoft.com/office/2006/relationships/keyMapCustomizations" Target="customizations.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 China</Company>
  <Pages>17</Pages>
  <Words>1571</Words>
  <Characters>8958</Characters>
  <Lines>74</Lines>
  <Paragraphs>21</Paragraphs>
  <ScaleCrop>false</ScaleCrop>
  <LinksUpToDate>false</LinksUpToDate>
  <CharactersWithSpaces>10508</CharactersWithSpaces>
  <Application>WPS Office_3.8.0.6081_F1E327BC-269C-435d-A152-05C5408002CA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2021-10-17T02:27:00Z</dcterms:created>
  <dc:creator>hanaizhen</dc:creator>
  <cp:lastModifiedBy>hanaizhen</cp:lastModifiedBy>
  <dcterms:modified xsi:type="dcterms:W3CDTF">2021-10-18T09:31:50Z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2052-3.8.0.6081</vt:lpwstr>
  </property>
</Properties>
</file>